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3958"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664C53AD" wp14:editId="1932F99A">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3047" w14:textId="77777777" w:rsidR="00762595" w:rsidRDefault="00762595" w:rsidP="00762595">
                            <w:pPr>
                              <w:rPr>
                                <w:b/>
                                <w:bCs/>
                                <w:sz w:val="28"/>
                              </w:rPr>
                            </w:pPr>
                            <w:r>
                              <w:rPr>
                                <w:b/>
                                <w:bCs/>
                                <w:sz w:val="28"/>
                              </w:rPr>
                              <w:t xml:space="preserve">SSERC Risk Assessment </w:t>
                            </w:r>
                            <w:r>
                              <w:rPr>
                                <w:sz w:val="28"/>
                              </w:rPr>
                              <w:t>(revised version March 2018)</w:t>
                            </w:r>
                          </w:p>
                          <w:p w14:paraId="5C6FEF21"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4D35AEF0" w14:textId="77777777" w:rsidR="00762595" w:rsidRDefault="00762595" w:rsidP="00762595">
                            <w:pPr>
                              <w:rPr>
                                <w:sz w:val="24"/>
                              </w:rPr>
                            </w:pPr>
                          </w:p>
                          <w:p w14:paraId="1F8500E2" w14:textId="77777777" w:rsidR="00762595" w:rsidRDefault="00762595" w:rsidP="00762595">
                            <w:r>
                              <w:t>2 Pitreavie Court, South Pitreavie Business Park, Dunfermline KY11 8UU</w:t>
                            </w:r>
                          </w:p>
                          <w:p w14:paraId="4C7FB3D2"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5A225156" w14:textId="77777777" w:rsidR="00762595" w:rsidRDefault="00762595" w:rsidP="00762595">
                            <w:pPr>
                              <w:jc w:val="right"/>
                              <w:rPr>
                                <w:sz w:val="18"/>
                              </w:rPr>
                            </w:pPr>
                          </w:p>
                          <w:p w14:paraId="7197261B"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C53AD"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52533047" w14:textId="77777777" w:rsidR="00762595" w:rsidRDefault="00762595" w:rsidP="00762595">
                      <w:pPr>
                        <w:rPr>
                          <w:b/>
                          <w:bCs/>
                          <w:sz w:val="28"/>
                        </w:rPr>
                      </w:pPr>
                      <w:r>
                        <w:rPr>
                          <w:b/>
                          <w:bCs/>
                          <w:sz w:val="28"/>
                        </w:rPr>
                        <w:t xml:space="preserve">SSERC Risk Assessment </w:t>
                      </w:r>
                      <w:r>
                        <w:rPr>
                          <w:sz w:val="28"/>
                        </w:rPr>
                        <w:t>(revised version March 2018)</w:t>
                      </w:r>
                    </w:p>
                    <w:p w14:paraId="5C6FEF21"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4D35AEF0" w14:textId="77777777" w:rsidR="00762595" w:rsidRDefault="00762595" w:rsidP="00762595">
                      <w:pPr>
                        <w:rPr>
                          <w:sz w:val="24"/>
                        </w:rPr>
                      </w:pPr>
                    </w:p>
                    <w:p w14:paraId="1F8500E2" w14:textId="77777777" w:rsidR="00762595" w:rsidRDefault="00762595" w:rsidP="00762595">
                      <w:r>
                        <w:t>2 Pitreavie Court, South Pitreavie Business Park, Dunfermline KY11 8UU</w:t>
                      </w:r>
                    </w:p>
                    <w:p w14:paraId="4C7FB3D2"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5A225156" w14:textId="77777777" w:rsidR="00762595" w:rsidRDefault="00762595" w:rsidP="00762595">
                      <w:pPr>
                        <w:jc w:val="right"/>
                        <w:rPr>
                          <w:sz w:val="18"/>
                        </w:rPr>
                      </w:pPr>
                    </w:p>
                    <w:p w14:paraId="7197261B"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539E560C" wp14:editId="7C57E0AC">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0371B3DF" w14:textId="77777777" w:rsidR="00762595" w:rsidRDefault="00762595" w:rsidP="00762595">
      <w:pPr>
        <w:pStyle w:val="Heading1"/>
        <w:rPr>
          <w:sz w:val="24"/>
        </w:rPr>
      </w:pPr>
    </w:p>
    <w:p w14:paraId="3C0E2FC1" w14:textId="77777777" w:rsidR="00762595" w:rsidRDefault="00762595" w:rsidP="00762595">
      <w:pPr>
        <w:pStyle w:val="Heading1"/>
        <w:rPr>
          <w:sz w:val="24"/>
        </w:rPr>
      </w:pPr>
    </w:p>
    <w:p w14:paraId="074ACC5E"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0B29764E"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5B8EF00A"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159B8AD3" w14:textId="76BC5DA7" w:rsidR="00762595" w:rsidRDefault="001D3D6B">
            <w:r>
              <w:t>Manual Handling</w:t>
            </w:r>
          </w:p>
        </w:tc>
      </w:tr>
      <w:tr w:rsidR="00762595" w14:paraId="138E5E21"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50AC43E9"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7BB6169C" w14:textId="1CB322B2" w:rsidR="00762595" w:rsidRDefault="001D3D6B">
            <w:r>
              <w:t>August 2022</w:t>
            </w:r>
          </w:p>
        </w:tc>
      </w:tr>
      <w:tr w:rsidR="00762595" w14:paraId="71FF5DD6"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57BDCA6A"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270B27B7" w14:textId="77777777" w:rsidR="00762595" w:rsidRDefault="00762595">
            <w:pPr>
              <w:pStyle w:val="Salutation"/>
            </w:pPr>
          </w:p>
        </w:tc>
      </w:tr>
      <w:tr w:rsidR="00762595" w14:paraId="05CCCD4D"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6CBFCA15"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14B884D6" w14:textId="77777777" w:rsidR="00762595" w:rsidRDefault="00762595">
            <w:pPr>
              <w:pStyle w:val="Salutation"/>
            </w:pPr>
          </w:p>
        </w:tc>
      </w:tr>
      <w:tr w:rsidR="00762595" w14:paraId="20EC900A"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1CECC85C"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42CF2C8A" w14:textId="77777777" w:rsidR="00762595" w:rsidRDefault="00762595"/>
        </w:tc>
      </w:tr>
    </w:tbl>
    <w:p w14:paraId="2E5E844F"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60D67E52" w14:textId="77777777" w:rsidTr="001D3D6B">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7B0698C5"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471FC81C"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94CAE78"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7DCDF254" w14:textId="77777777" w:rsidR="00762595" w:rsidRDefault="00762595">
            <w:pPr>
              <w:jc w:val="center"/>
              <w:rPr>
                <w:sz w:val="28"/>
              </w:rPr>
            </w:pPr>
            <w:r>
              <w:rPr>
                <w:sz w:val="28"/>
              </w:rPr>
              <w:t>Step 4</w:t>
            </w:r>
          </w:p>
        </w:tc>
      </w:tr>
      <w:tr w:rsidR="00762595" w14:paraId="4EC1582D" w14:textId="77777777" w:rsidTr="001D3D6B">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FB8E8BB"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3C518B7"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B51E299" w14:textId="77777777" w:rsidR="00762595" w:rsidRDefault="00762595">
            <w:pPr>
              <w:rPr>
                <w:i/>
                <w:iCs/>
              </w:rPr>
            </w:pPr>
            <w:r>
              <w:rPr>
                <w:i/>
                <w:iCs/>
              </w:rPr>
              <w:t>What are you already doing?</w:t>
            </w:r>
          </w:p>
          <w:p w14:paraId="5F6ED14F"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960B9B6" w14:textId="77777777" w:rsidR="00762595" w:rsidRDefault="00762595">
            <w:pPr>
              <w:jc w:val="center"/>
              <w:rPr>
                <w:i/>
                <w:iCs/>
              </w:rPr>
            </w:pPr>
            <w:r>
              <w:rPr>
                <w:i/>
                <w:iCs/>
              </w:rPr>
              <w:t>Actions</w:t>
            </w:r>
          </w:p>
        </w:tc>
      </w:tr>
      <w:tr w:rsidR="00762595" w14:paraId="28B29FFB" w14:textId="77777777" w:rsidTr="001D3D6B">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6A60A71D"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18F7EB8A"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7A13C51A"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37D6A95"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D6EC4F2"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D866A8D" w14:textId="77777777" w:rsidR="00762595" w:rsidRDefault="00762595">
            <w:pPr>
              <w:rPr>
                <w:i/>
                <w:iCs/>
              </w:rPr>
            </w:pPr>
            <w:r>
              <w:rPr>
                <w:i/>
                <w:iCs/>
              </w:rPr>
              <w:t>Done</w:t>
            </w:r>
          </w:p>
        </w:tc>
      </w:tr>
      <w:tr w:rsidR="001D3D6B" w14:paraId="7E16363D" w14:textId="77777777" w:rsidTr="001D3D6B">
        <w:trPr>
          <w:trHeight w:val="709"/>
        </w:trPr>
        <w:tc>
          <w:tcPr>
            <w:tcW w:w="2659" w:type="dxa"/>
            <w:tcBorders>
              <w:top w:val="single" w:sz="4" w:space="0" w:color="auto"/>
              <w:left w:val="single" w:sz="4" w:space="0" w:color="auto"/>
              <w:bottom w:val="single" w:sz="4" w:space="0" w:color="auto"/>
              <w:right w:val="single" w:sz="4" w:space="0" w:color="auto"/>
            </w:tcBorders>
          </w:tcPr>
          <w:p w14:paraId="67B0244B" w14:textId="52C95721" w:rsidR="001D3D6B" w:rsidRDefault="001D3D6B" w:rsidP="001D3D6B">
            <w:r>
              <w:t>Injuries to back from lifting weights that are too heavy, at an angle or otherwise difficult</w:t>
            </w:r>
          </w:p>
        </w:tc>
        <w:tc>
          <w:tcPr>
            <w:tcW w:w="2550" w:type="dxa"/>
            <w:tcBorders>
              <w:top w:val="single" w:sz="4" w:space="0" w:color="auto"/>
              <w:left w:val="single" w:sz="4" w:space="0" w:color="auto"/>
              <w:bottom w:val="single" w:sz="4" w:space="0" w:color="auto"/>
              <w:right w:val="single" w:sz="4" w:space="0" w:color="auto"/>
            </w:tcBorders>
          </w:tcPr>
          <w:p w14:paraId="6B6D2F5B" w14:textId="5A521C17" w:rsidR="001D3D6B" w:rsidRDefault="001D3D6B" w:rsidP="001D3D6B">
            <w:r>
              <w:t>Technicians (and possibly teachers) while lifting</w:t>
            </w:r>
          </w:p>
        </w:tc>
        <w:tc>
          <w:tcPr>
            <w:tcW w:w="6236" w:type="dxa"/>
            <w:tcBorders>
              <w:top w:val="single" w:sz="4" w:space="0" w:color="auto"/>
              <w:left w:val="single" w:sz="4" w:space="0" w:color="auto"/>
              <w:bottom w:val="single" w:sz="4" w:space="0" w:color="auto"/>
              <w:right w:val="single" w:sz="4" w:space="0" w:color="auto"/>
            </w:tcBorders>
          </w:tcPr>
          <w:p w14:paraId="236EC0AE" w14:textId="598572C3" w:rsidR="001D3D6B" w:rsidRDefault="001D3D6B" w:rsidP="001D3D6B">
            <w:r>
              <w:t xml:space="preserve">Heavy objects must only be moved by someone who is trained in manual handling methods.  </w:t>
            </w:r>
          </w:p>
          <w:p w14:paraId="6AE29FEF" w14:textId="77777777" w:rsidR="001D3D6B" w:rsidRDefault="001D3D6B" w:rsidP="001D3D6B">
            <w:r>
              <w:t xml:space="preserve">Items being stored should be split into smaller loads for easier future access and handling.  </w:t>
            </w:r>
          </w:p>
          <w:p w14:paraId="131E9408" w14:textId="77777777" w:rsidR="001D3D6B" w:rsidRDefault="001D3D6B" w:rsidP="001D3D6B">
            <w:r>
              <w:t xml:space="preserve">Mechanical devices </w:t>
            </w:r>
            <w:proofErr w:type="gramStart"/>
            <w:r>
              <w:t>e.g.</w:t>
            </w:r>
            <w:proofErr w:type="gramEnd"/>
            <w:r>
              <w:t xml:space="preserve"> trolleys, barrows etc must be used to transport equipment wherever possible.</w:t>
            </w:r>
          </w:p>
          <w:p w14:paraId="56BE954B" w14:textId="6E557391" w:rsidR="001D3D6B" w:rsidRDefault="001D3D6B" w:rsidP="001D3D6B">
            <w:r>
              <w:t>Heavy objects must not be stored too high (or low).</w:t>
            </w:r>
          </w:p>
        </w:tc>
        <w:tc>
          <w:tcPr>
            <w:tcW w:w="1134" w:type="dxa"/>
            <w:tcBorders>
              <w:top w:val="single" w:sz="4" w:space="0" w:color="auto"/>
              <w:left w:val="single" w:sz="4" w:space="0" w:color="auto"/>
              <w:bottom w:val="single" w:sz="4" w:space="0" w:color="auto"/>
              <w:right w:val="single" w:sz="4" w:space="0" w:color="auto"/>
            </w:tcBorders>
          </w:tcPr>
          <w:p w14:paraId="687232FD" w14:textId="77777777" w:rsidR="001D3D6B" w:rsidRDefault="001D3D6B" w:rsidP="001D3D6B"/>
        </w:tc>
        <w:tc>
          <w:tcPr>
            <w:tcW w:w="993" w:type="dxa"/>
            <w:tcBorders>
              <w:top w:val="single" w:sz="4" w:space="0" w:color="auto"/>
              <w:left w:val="single" w:sz="4" w:space="0" w:color="auto"/>
              <w:bottom w:val="single" w:sz="4" w:space="0" w:color="auto"/>
              <w:right w:val="single" w:sz="4" w:space="0" w:color="auto"/>
            </w:tcBorders>
          </w:tcPr>
          <w:p w14:paraId="001AFE76" w14:textId="77777777" w:rsidR="001D3D6B" w:rsidRDefault="001D3D6B" w:rsidP="001D3D6B"/>
        </w:tc>
        <w:tc>
          <w:tcPr>
            <w:tcW w:w="708" w:type="dxa"/>
            <w:tcBorders>
              <w:top w:val="single" w:sz="4" w:space="0" w:color="auto"/>
              <w:left w:val="single" w:sz="4" w:space="0" w:color="auto"/>
              <w:bottom w:val="single" w:sz="4" w:space="0" w:color="auto"/>
              <w:right w:val="single" w:sz="4" w:space="0" w:color="auto"/>
            </w:tcBorders>
          </w:tcPr>
          <w:p w14:paraId="26A0B396" w14:textId="77777777" w:rsidR="001D3D6B" w:rsidRDefault="001D3D6B" w:rsidP="001D3D6B"/>
        </w:tc>
      </w:tr>
      <w:tr w:rsidR="001D3D6B" w14:paraId="5AB48A69" w14:textId="77777777" w:rsidTr="001D3D6B">
        <w:trPr>
          <w:trHeight w:val="718"/>
        </w:trPr>
        <w:tc>
          <w:tcPr>
            <w:tcW w:w="2659" w:type="dxa"/>
            <w:tcBorders>
              <w:top w:val="single" w:sz="4" w:space="0" w:color="auto"/>
              <w:left w:val="single" w:sz="4" w:space="0" w:color="auto"/>
              <w:bottom w:val="single" w:sz="4" w:space="0" w:color="auto"/>
              <w:right w:val="single" w:sz="4" w:space="0" w:color="auto"/>
            </w:tcBorders>
          </w:tcPr>
          <w:p w14:paraId="352BCBF4" w14:textId="1721A24B" w:rsidR="001D3D6B" w:rsidRDefault="001D3D6B" w:rsidP="001D3D6B">
            <w:r>
              <w:t>Injuries from objects falling onto a person</w:t>
            </w:r>
          </w:p>
        </w:tc>
        <w:tc>
          <w:tcPr>
            <w:tcW w:w="2550" w:type="dxa"/>
            <w:tcBorders>
              <w:top w:val="single" w:sz="4" w:space="0" w:color="auto"/>
              <w:left w:val="single" w:sz="4" w:space="0" w:color="auto"/>
              <w:bottom w:val="single" w:sz="4" w:space="0" w:color="auto"/>
              <w:right w:val="single" w:sz="4" w:space="0" w:color="auto"/>
            </w:tcBorders>
          </w:tcPr>
          <w:p w14:paraId="6C3C2AFA" w14:textId="005BD13F" w:rsidR="001D3D6B" w:rsidRDefault="001D3D6B" w:rsidP="001D3D6B">
            <w:r>
              <w:t>Technicians (and possibly teachers) when lifting down objects from height</w:t>
            </w:r>
          </w:p>
        </w:tc>
        <w:tc>
          <w:tcPr>
            <w:tcW w:w="6236" w:type="dxa"/>
            <w:tcBorders>
              <w:top w:val="single" w:sz="4" w:space="0" w:color="auto"/>
              <w:left w:val="single" w:sz="4" w:space="0" w:color="auto"/>
              <w:bottom w:val="single" w:sz="4" w:space="0" w:color="auto"/>
              <w:right w:val="single" w:sz="4" w:space="0" w:color="auto"/>
            </w:tcBorders>
          </w:tcPr>
          <w:p w14:paraId="5D7701A0" w14:textId="77777777" w:rsidR="001D3D6B" w:rsidRDefault="001D3D6B" w:rsidP="001D3D6B">
            <w:r>
              <w:t>Heavy or bulky items must be stored in easily accessible places.  Items being stored should be split into smaller loads for easier future access and handling.  The correct equipment must be used where heavy or bulky items need to be accessed from a height.</w:t>
            </w:r>
          </w:p>
          <w:p w14:paraId="3986499E" w14:textId="77777777" w:rsidR="001D3D6B" w:rsidRDefault="001D3D6B" w:rsidP="001D3D6B">
            <w:r>
              <w:t xml:space="preserve">Mechanical devices </w:t>
            </w:r>
            <w:proofErr w:type="gramStart"/>
            <w:r>
              <w:t>e.g.</w:t>
            </w:r>
            <w:proofErr w:type="gramEnd"/>
            <w:r>
              <w:t xml:space="preserve"> trolleys, barrows etc must be used to transport equipment wherever possible.</w:t>
            </w:r>
          </w:p>
          <w:p w14:paraId="5B49A2C5" w14:textId="2A672B75" w:rsidR="001D3D6B" w:rsidRDefault="001D3D6B" w:rsidP="001D3D6B">
            <w:proofErr w:type="gramStart"/>
            <w:r>
              <w:t>In particular, hazardous</w:t>
            </w:r>
            <w:proofErr w:type="gramEnd"/>
            <w:r>
              <w:t xml:space="preserve"> materials </w:t>
            </w:r>
            <w:r>
              <w:t>(</w:t>
            </w:r>
            <w:r>
              <w:t xml:space="preserve">such as </w:t>
            </w:r>
            <w:r>
              <w:t xml:space="preserve">harmful </w:t>
            </w:r>
            <w:r>
              <w:t>chemicals</w:t>
            </w:r>
            <w:r>
              <w:t>)</w:t>
            </w:r>
            <w:r>
              <w:t xml:space="preserve"> should not be stored high up.</w:t>
            </w:r>
          </w:p>
        </w:tc>
        <w:tc>
          <w:tcPr>
            <w:tcW w:w="1134" w:type="dxa"/>
            <w:tcBorders>
              <w:top w:val="single" w:sz="4" w:space="0" w:color="auto"/>
              <w:left w:val="single" w:sz="4" w:space="0" w:color="auto"/>
              <w:bottom w:val="single" w:sz="4" w:space="0" w:color="auto"/>
              <w:right w:val="single" w:sz="4" w:space="0" w:color="auto"/>
            </w:tcBorders>
          </w:tcPr>
          <w:p w14:paraId="32F6336A" w14:textId="77777777" w:rsidR="001D3D6B" w:rsidRDefault="001D3D6B" w:rsidP="001D3D6B"/>
        </w:tc>
        <w:tc>
          <w:tcPr>
            <w:tcW w:w="993" w:type="dxa"/>
            <w:tcBorders>
              <w:top w:val="single" w:sz="4" w:space="0" w:color="auto"/>
              <w:left w:val="single" w:sz="4" w:space="0" w:color="auto"/>
              <w:bottom w:val="single" w:sz="4" w:space="0" w:color="auto"/>
              <w:right w:val="single" w:sz="4" w:space="0" w:color="auto"/>
            </w:tcBorders>
          </w:tcPr>
          <w:p w14:paraId="2A1F26CD" w14:textId="77777777" w:rsidR="001D3D6B" w:rsidRDefault="001D3D6B" w:rsidP="001D3D6B"/>
        </w:tc>
        <w:tc>
          <w:tcPr>
            <w:tcW w:w="708" w:type="dxa"/>
            <w:tcBorders>
              <w:top w:val="single" w:sz="4" w:space="0" w:color="auto"/>
              <w:left w:val="single" w:sz="4" w:space="0" w:color="auto"/>
              <w:bottom w:val="single" w:sz="4" w:space="0" w:color="auto"/>
              <w:right w:val="single" w:sz="4" w:space="0" w:color="auto"/>
            </w:tcBorders>
          </w:tcPr>
          <w:p w14:paraId="08205048" w14:textId="77777777" w:rsidR="001D3D6B" w:rsidRDefault="001D3D6B" w:rsidP="001D3D6B"/>
        </w:tc>
      </w:tr>
      <w:tr w:rsidR="001D3D6B" w14:paraId="29D59DE0" w14:textId="77777777" w:rsidTr="001D3D6B">
        <w:trPr>
          <w:trHeight w:val="718"/>
        </w:trPr>
        <w:tc>
          <w:tcPr>
            <w:tcW w:w="2659" w:type="dxa"/>
            <w:tcBorders>
              <w:top w:val="single" w:sz="4" w:space="0" w:color="auto"/>
              <w:left w:val="single" w:sz="4" w:space="0" w:color="auto"/>
              <w:bottom w:val="single" w:sz="4" w:space="0" w:color="auto"/>
              <w:right w:val="single" w:sz="4" w:space="0" w:color="auto"/>
            </w:tcBorders>
          </w:tcPr>
          <w:p w14:paraId="5B2EB715" w14:textId="28465702" w:rsidR="001D3D6B" w:rsidRDefault="001D3D6B" w:rsidP="001D3D6B">
            <w:r>
              <w:t>Repetitive strain injuries.</w:t>
            </w:r>
          </w:p>
        </w:tc>
        <w:tc>
          <w:tcPr>
            <w:tcW w:w="2550" w:type="dxa"/>
            <w:tcBorders>
              <w:top w:val="single" w:sz="4" w:space="0" w:color="auto"/>
              <w:left w:val="single" w:sz="4" w:space="0" w:color="auto"/>
              <w:bottom w:val="single" w:sz="4" w:space="0" w:color="auto"/>
              <w:right w:val="single" w:sz="4" w:space="0" w:color="auto"/>
            </w:tcBorders>
          </w:tcPr>
          <w:p w14:paraId="2D84A64B" w14:textId="77777777" w:rsidR="001D3D6B" w:rsidRDefault="001D3D6B" w:rsidP="001D3D6B">
            <w:r>
              <w:t>Technicians or teachers undertaking repetitive tasks – especially computer use.</w:t>
            </w:r>
          </w:p>
          <w:p w14:paraId="2A3291C6" w14:textId="77777777" w:rsidR="001D3D6B" w:rsidRDefault="001D3D6B" w:rsidP="001D3D6B"/>
        </w:tc>
        <w:tc>
          <w:tcPr>
            <w:tcW w:w="6236" w:type="dxa"/>
            <w:tcBorders>
              <w:top w:val="single" w:sz="4" w:space="0" w:color="auto"/>
              <w:left w:val="single" w:sz="4" w:space="0" w:color="auto"/>
              <w:bottom w:val="single" w:sz="4" w:space="0" w:color="auto"/>
              <w:right w:val="single" w:sz="4" w:space="0" w:color="auto"/>
            </w:tcBorders>
          </w:tcPr>
          <w:p w14:paraId="54EC586C" w14:textId="77777777" w:rsidR="001D3D6B" w:rsidRDefault="001D3D6B" w:rsidP="001D3D6B">
            <w:r>
              <w:t xml:space="preserve">Try to avoid repetitive work where possible. </w:t>
            </w:r>
          </w:p>
          <w:p w14:paraId="0A090486" w14:textId="77777777" w:rsidR="001D3D6B" w:rsidRDefault="001D3D6B" w:rsidP="001D3D6B">
            <w:r>
              <w:t>Where there is a repetitive task to be done, break it up into smaller sections. Automate the process where possible.</w:t>
            </w:r>
          </w:p>
          <w:p w14:paraId="710F170B" w14:textId="16FF41A1" w:rsidR="001D3D6B" w:rsidRDefault="001D3D6B" w:rsidP="001D3D6B">
            <w:r>
              <w:t>Ensure any computer workstations are properly set up for each user.</w:t>
            </w:r>
          </w:p>
        </w:tc>
        <w:tc>
          <w:tcPr>
            <w:tcW w:w="1134" w:type="dxa"/>
            <w:tcBorders>
              <w:top w:val="single" w:sz="4" w:space="0" w:color="auto"/>
              <w:left w:val="single" w:sz="4" w:space="0" w:color="auto"/>
              <w:bottom w:val="single" w:sz="4" w:space="0" w:color="auto"/>
              <w:right w:val="single" w:sz="4" w:space="0" w:color="auto"/>
            </w:tcBorders>
          </w:tcPr>
          <w:p w14:paraId="6AF3F116" w14:textId="77777777" w:rsidR="001D3D6B" w:rsidRDefault="001D3D6B" w:rsidP="001D3D6B"/>
        </w:tc>
        <w:tc>
          <w:tcPr>
            <w:tcW w:w="993" w:type="dxa"/>
            <w:tcBorders>
              <w:top w:val="single" w:sz="4" w:space="0" w:color="auto"/>
              <w:left w:val="single" w:sz="4" w:space="0" w:color="auto"/>
              <w:bottom w:val="single" w:sz="4" w:space="0" w:color="auto"/>
              <w:right w:val="single" w:sz="4" w:space="0" w:color="auto"/>
            </w:tcBorders>
          </w:tcPr>
          <w:p w14:paraId="2B74CF01" w14:textId="77777777" w:rsidR="001D3D6B" w:rsidRDefault="001D3D6B" w:rsidP="001D3D6B"/>
        </w:tc>
        <w:tc>
          <w:tcPr>
            <w:tcW w:w="708" w:type="dxa"/>
            <w:tcBorders>
              <w:top w:val="single" w:sz="4" w:space="0" w:color="auto"/>
              <w:left w:val="single" w:sz="4" w:space="0" w:color="auto"/>
              <w:bottom w:val="single" w:sz="4" w:space="0" w:color="auto"/>
              <w:right w:val="single" w:sz="4" w:space="0" w:color="auto"/>
            </w:tcBorders>
          </w:tcPr>
          <w:p w14:paraId="3B363680" w14:textId="77777777" w:rsidR="001D3D6B" w:rsidRDefault="001D3D6B" w:rsidP="001D3D6B"/>
        </w:tc>
      </w:tr>
      <w:tr w:rsidR="00762595" w14:paraId="2A2093C0" w14:textId="77777777" w:rsidTr="001D3D6B">
        <w:trPr>
          <w:trHeight w:val="718"/>
        </w:trPr>
        <w:tc>
          <w:tcPr>
            <w:tcW w:w="2659" w:type="dxa"/>
            <w:tcBorders>
              <w:top w:val="single" w:sz="4" w:space="0" w:color="auto"/>
              <w:left w:val="single" w:sz="4" w:space="0" w:color="auto"/>
              <w:bottom w:val="single" w:sz="4" w:space="0" w:color="auto"/>
              <w:right w:val="single" w:sz="4" w:space="0" w:color="auto"/>
            </w:tcBorders>
          </w:tcPr>
          <w:p w14:paraId="031657E5" w14:textId="1D83B4C7" w:rsidR="00762595" w:rsidRDefault="001D3D6B">
            <w:r>
              <w:t>Trips and slips</w:t>
            </w:r>
          </w:p>
        </w:tc>
        <w:tc>
          <w:tcPr>
            <w:tcW w:w="2550" w:type="dxa"/>
            <w:tcBorders>
              <w:top w:val="single" w:sz="4" w:space="0" w:color="auto"/>
              <w:left w:val="single" w:sz="4" w:space="0" w:color="auto"/>
              <w:bottom w:val="single" w:sz="4" w:space="0" w:color="auto"/>
              <w:right w:val="single" w:sz="4" w:space="0" w:color="auto"/>
            </w:tcBorders>
          </w:tcPr>
          <w:p w14:paraId="0B36A48B" w14:textId="406318A0" w:rsidR="00762595" w:rsidRDefault="001D3D6B">
            <w:r>
              <w:t xml:space="preserve">Technicians (and possibly teachers) while </w:t>
            </w:r>
            <w:r>
              <w:t>transporting equipment.</w:t>
            </w:r>
          </w:p>
        </w:tc>
        <w:tc>
          <w:tcPr>
            <w:tcW w:w="6236" w:type="dxa"/>
            <w:tcBorders>
              <w:top w:val="single" w:sz="4" w:space="0" w:color="auto"/>
              <w:left w:val="single" w:sz="4" w:space="0" w:color="auto"/>
              <w:bottom w:val="single" w:sz="4" w:space="0" w:color="auto"/>
              <w:right w:val="single" w:sz="4" w:space="0" w:color="auto"/>
            </w:tcBorders>
          </w:tcPr>
          <w:p w14:paraId="3B8DAD49" w14:textId="77777777" w:rsidR="00762595" w:rsidRDefault="001D3D6B">
            <w:r>
              <w:t>Ensure the route has no trailing cables or other hazards.</w:t>
            </w:r>
          </w:p>
          <w:p w14:paraId="179DCA57" w14:textId="77777777" w:rsidR="001D3D6B" w:rsidRDefault="001D3D6B">
            <w:r>
              <w:t>Ensure the floor on the route is even and any changes of level (such as stairs) are well signposted and in good condition)</w:t>
            </w:r>
          </w:p>
          <w:p w14:paraId="597B512B" w14:textId="6AE5B310" w:rsidR="001D3D6B" w:rsidRDefault="001D3D6B">
            <w:r>
              <w:lastRenderedPageBreak/>
              <w:t>Ensure floors are not slippery. Use non-slip polish and make sure spillages of water etc are cleared up promptly.</w:t>
            </w:r>
          </w:p>
          <w:p w14:paraId="00489D3F" w14:textId="77777777" w:rsidR="001D3D6B" w:rsidRDefault="001D3D6B">
            <w:r>
              <w:t>Choose times to transport heavy or hazardous loads when the corridors will not be busy.</w:t>
            </w:r>
          </w:p>
          <w:p w14:paraId="4A530C64" w14:textId="4FE4C10D" w:rsidR="001D3D6B" w:rsidRDefault="001D3D6B">
            <w:r>
              <w:t xml:space="preserve">Mechanical devices </w:t>
            </w:r>
            <w:proofErr w:type="gramStart"/>
            <w:r>
              <w:t>e.g.</w:t>
            </w:r>
            <w:proofErr w:type="gramEnd"/>
            <w:r>
              <w:t xml:space="preserve"> trolleys, barrows etc must be used to transport equipment wherever possible.</w:t>
            </w:r>
          </w:p>
        </w:tc>
        <w:tc>
          <w:tcPr>
            <w:tcW w:w="1134" w:type="dxa"/>
            <w:tcBorders>
              <w:top w:val="single" w:sz="4" w:space="0" w:color="auto"/>
              <w:left w:val="single" w:sz="4" w:space="0" w:color="auto"/>
              <w:bottom w:val="single" w:sz="4" w:space="0" w:color="auto"/>
              <w:right w:val="single" w:sz="4" w:space="0" w:color="auto"/>
            </w:tcBorders>
          </w:tcPr>
          <w:p w14:paraId="6F0F2305"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32BF6B68"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74884088" w14:textId="77777777" w:rsidR="00762595" w:rsidRDefault="00762595"/>
        </w:tc>
      </w:tr>
    </w:tbl>
    <w:p w14:paraId="4BCA28E4"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711CB841" w14:textId="77777777" w:rsidTr="001D3D6B">
        <w:trPr>
          <w:trHeight w:val="2533"/>
        </w:trPr>
        <w:tc>
          <w:tcPr>
            <w:tcW w:w="14170" w:type="dxa"/>
            <w:tcBorders>
              <w:top w:val="single" w:sz="4" w:space="0" w:color="auto"/>
              <w:left w:val="single" w:sz="4" w:space="0" w:color="auto"/>
              <w:bottom w:val="single" w:sz="4" w:space="0" w:color="auto"/>
              <w:right w:val="single" w:sz="4" w:space="0" w:color="auto"/>
            </w:tcBorders>
          </w:tcPr>
          <w:p w14:paraId="258F9FC7" w14:textId="77777777" w:rsidR="00762595" w:rsidRDefault="00762595">
            <w:pPr>
              <w:rPr>
                <w:b/>
                <w:bCs/>
                <w:sz w:val="28"/>
              </w:rPr>
            </w:pPr>
            <w:r>
              <w:rPr>
                <w:b/>
                <w:bCs/>
                <w:sz w:val="28"/>
              </w:rPr>
              <w:t>Description of activity:</w:t>
            </w:r>
          </w:p>
          <w:p w14:paraId="11F14CD1" w14:textId="77777777" w:rsidR="00762595" w:rsidRDefault="00762595"/>
        </w:tc>
      </w:tr>
    </w:tbl>
    <w:p w14:paraId="75D576A4" w14:textId="77777777" w:rsidR="00762595" w:rsidRDefault="00762595" w:rsidP="00762595">
      <w:pPr>
        <w:rPr>
          <w:sz w:val="28"/>
        </w:rPr>
      </w:pPr>
    </w:p>
    <w:p w14:paraId="19357A7A" w14:textId="77777777" w:rsidR="00762595" w:rsidRDefault="00762595" w:rsidP="00762595">
      <w:pPr>
        <w:rPr>
          <w:sz w:val="28"/>
        </w:rPr>
      </w:pPr>
    </w:p>
    <w:p w14:paraId="33A84867"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29CF75EB" w14:textId="77777777" w:rsidTr="00762595">
        <w:trPr>
          <w:trHeight w:val="2509"/>
        </w:trPr>
        <w:tc>
          <w:tcPr>
            <w:tcW w:w="14170" w:type="dxa"/>
            <w:tcBorders>
              <w:top w:val="single" w:sz="4" w:space="0" w:color="auto"/>
              <w:left w:val="single" w:sz="4" w:space="0" w:color="auto"/>
              <w:bottom w:val="single" w:sz="4" w:space="0" w:color="auto"/>
              <w:right w:val="single" w:sz="4" w:space="0" w:color="auto"/>
            </w:tcBorders>
            <w:hideMark/>
          </w:tcPr>
          <w:p w14:paraId="2411477D" w14:textId="77777777" w:rsidR="00762595" w:rsidRDefault="00762595">
            <w:pPr>
              <w:rPr>
                <w:b/>
                <w:bCs/>
                <w:sz w:val="28"/>
              </w:rPr>
            </w:pPr>
            <w:r>
              <w:rPr>
                <w:b/>
                <w:bCs/>
                <w:sz w:val="28"/>
              </w:rPr>
              <w:t>Additional comments:</w:t>
            </w:r>
          </w:p>
          <w:p w14:paraId="2D5F3A53" w14:textId="77777777" w:rsidR="001D3D6B" w:rsidRDefault="001D3D6B">
            <w:pPr>
              <w:rPr>
                <w:b/>
                <w:bCs/>
                <w:sz w:val="28"/>
              </w:rPr>
            </w:pPr>
          </w:p>
          <w:p w14:paraId="59EE6617" w14:textId="60055DAE" w:rsidR="001D3D6B" w:rsidRPr="001D3D6B" w:rsidRDefault="001D3D6B">
            <w:r w:rsidRPr="001D3D6B">
              <w:t>Any staff who will be lifting or handling things on a regular basis should be given appropriate training in manual handling.</w:t>
            </w:r>
          </w:p>
        </w:tc>
      </w:tr>
    </w:tbl>
    <w:p w14:paraId="16EB91FD" w14:textId="77777777" w:rsidR="00185440" w:rsidRDefault="001D3D6B"/>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6B"/>
    <w:rsid w:val="000147A5"/>
    <w:rsid w:val="001D1C70"/>
    <w:rsid w:val="001D3D6B"/>
    <w:rsid w:val="00393E7C"/>
    <w:rsid w:val="003F3EA1"/>
    <w:rsid w:val="006E27A3"/>
    <w:rsid w:val="00762595"/>
    <w:rsid w:val="009601EF"/>
    <w:rsid w:val="00BA3643"/>
    <w:rsid w:val="00D24C31"/>
    <w:rsid w:val="00E82E1C"/>
    <w:rsid w:val="00EB7C10"/>
    <w:rsid w:val="00F3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F02E"/>
  <w15:chartTrackingRefBased/>
  <w15:docId w15:val="{D95B9688-510A-47E0-A07F-DB05DA1F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6B"/>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Props1.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3.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5</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1</cp:revision>
  <dcterms:created xsi:type="dcterms:W3CDTF">2022-08-30T14:52:00Z</dcterms:created>
  <dcterms:modified xsi:type="dcterms:W3CDTF">2022-08-30T14:57:00Z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