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CC69" w14:textId="77777777" w:rsidR="00762595" w:rsidRDefault="00762595" w:rsidP="00762595">
      <w:pPr>
        <w:pStyle w:val="Heading1"/>
        <w:rPr>
          <w:sz w:val="24"/>
        </w:rPr>
      </w:pPr>
      <w:r>
        <w:rPr>
          <w:noProof/>
        </w:rPr>
        <mc:AlternateContent>
          <mc:Choice Requires="wps">
            <w:drawing>
              <wp:anchor distT="0" distB="0" distL="114300" distR="114300" simplePos="0" relativeHeight="251658240" behindDoc="0" locked="0" layoutInCell="1" allowOverlap="1" wp14:anchorId="747F99FA" wp14:editId="5E430F9E">
                <wp:simplePos x="0" y="0"/>
                <wp:positionH relativeFrom="margin">
                  <wp:align>right</wp:align>
                </wp:positionH>
                <wp:positionV relativeFrom="paragraph">
                  <wp:posOffset>6350</wp:posOffset>
                </wp:positionV>
                <wp:extent cx="6964680" cy="10515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680" cy="105156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89B57" w14:textId="77777777" w:rsidR="00762595" w:rsidRDefault="00762595" w:rsidP="00762595">
                            <w:pPr>
                              <w:rPr>
                                <w:b/>
                                <w:bCs/>
                                <w:sz w:val="28"/>
                              </w:rPr>
                            </w:pPr>
                            <w:r>
                              <w:rPr>
                                <w:b/>
                                <w:bCs/>
                                <w:sz w:val="28"/>
                              </w:rPr>
                              <w:t xml:space="preserve">SSERC Risk Assessment </w:t>
                            </w:r>
                            <w:r>
                              <w:rPr>
                                <w:sz w:val="28"/>
                              </w:rPr>
                              <w:t>(revised version March 2018)</w:t>
                            </w:r>
                          </w:p>
                          <w:p w14:paraId="641C3B82"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2A23E170" w14:textId="77777777" w:rsidR="00762595" w:rsidRDefault="00762595" w:rsidP="00762595">
                            <w:pPr>
                              <w:rPr>
                                <w:sz w:val="24"/>
                              </w:rPr>
                            </w:pPr>
                          </w:p>
                          <w:p w14:paraId="3D8C5F27" w14:textId="77777777" w:rsidR="00762595" w:rsidRDefault="00762595" w:rsidP="00762595">
                            <w:r>
                              <w:t>2 Pitreavie Court, South Pitreavie Business Park, Dunfermline KY11 8UU</w:t>
                            </w:r>
                          </w:p>
                          <w:p w14:paraId="4D2B305C"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7" w:history="1">
                              <w:r>
                                <w:rPr>
                                  <w:rStyle w:val="Hyperlink"/>
                                  <w:rFonts w:eastAsiaTheme="majorEastAsia"/>
                                  <w:sz w:val="18"/>
                                </w:rPr>
                                <w:t>enquiries@sserc.org.uk</w:t>
                              </w:r>
                            </w:hyperlink>
                            <w:r>
                              <w:rPr>
                                <w:sz w:val="18"/>
                              </w:rPr>
                              <w:tab/>
                            </w:r>
                            <w:r>
                              <w:rPr>
                                <w:sz w:val="18"/>
                              </w:rPr>
                              <w:tab/>
                              <w:t xml:space="preserve">web : </w:t>
                            </w:r>
                            <w:hyperlink r:id="rId8" w:history="1">
                              <w:r>
                                <w:rPr>
                                  <w:rStyle w:val="Hyperlink"/>
                                  <w:rFonts w:eastAsiaTheme="majorEastAsia"/>
                                  <w:sz w:val="18"/>
                                </w:rPr>
                                <w:t>www.sserc.org.uk</w:t>
                              </w:r>
                            </w:hyperlink>
                          </w:p>
                          <w:p w14:paraId="0CEB276C" w14:textId="77777777" w:rsidR="00762595" w:rsidRDefault="00762595" w:rsidP="00762595">
                            <w:pPr>
                              <w:jc w:val="right"/>
                              <w:rPr>
                                <w:sz w:val="18"/>
                              </w:rPr>
                            </w:pPr>
                          </w:p>
                          <w:p w14:paraId="34540039" w14:textId="77777777" w:rsidR="00762595" w:rsidRDefault="00762595" w:rsidP="00762595">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F99FA" id="_x0000_t202" coordsize="21600,21600" o:spt="202" path="m,l,21600r21600,l21600,xe">
                <v:stroke joinstyle="miter"/>
                <v:path gradientshapeok="t" o:connecttype="rect"/>
              </v:shapetype>
              <v:shape id="Text Box 2" o:spid="_x0000_s1026" type="#_x0000_t202" style="position:absolute;margin-left:497.2pt;margin-top:.5pt;width:548.4pt;height:82.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YX4QEAAKIDAAAOAAAAZHJzL2Uyb0RvYy54bWysU9tu2zAMfR+wfxD0vtgOkqw14hRdiw4D&#10;ugvQ7QNkWbKF2aJGKbGzrx8lp2m2vQ17ESSSPjznkN7eTEPPDgq9AVvxYpFzpqyExti24t++Pry5&#10;4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" filled="f" fillcolor="silver" stroked="f">
                <v:textbox>
                  <w:txbxContent>
                    <w:p w14:paraId="4C689B57" w14:textId="77777777" w:rsidR="00762595" w:rsidRDefault="00762595" w:rsidP="00762595">
                      <w:pPr>
                        <w:rPr>
                          <w:b/>
                          <w:bCs/>
                          <w:sz w:val="28"/>
                        </w:rPr>
                      </w:pPr>
                      <w:r>
                        <w:rPr>
                          <w:b/>
                          <w:bCs/>
                          <w:sz w:val="28"/>
                        </w:rPr>
                        <w:t xml:space="preserve">SSERC Risk Assessment </w:t>
                      </w:r>
                      <w:r>
                        <w:rPr>
                          <w:sz w:val="28"/>
                        </w:rPr>
                        <w:t>(revised version March 2018)</w:t>
                      </w:r>
                    </w:p>
                    <w:p w14:paraId="641C3B82" w14:textId="77777777" w:rsidR="00762595" w:rsidRDefault="00762595" w:rsidP="00762595">
                      <w:pPr>
                        <w:rPr>
                          <w:sz w:val="24"/>
                        </w:rPr>
                      </w:pPr>
                      <w:r>
                        <w:rPr>
                          <w:sz w:val="24"/>
                        </w:rPr>
                        <w:t>(</w:t>
                      </w:r>
                      <w:proofErr w:type="gramStart"/>
                      <w:r>
                        <w:rPr>
                          <w:sz w:val="24"/>
                        </w:rPr>
                        <w:t>based</w:t>
                      </w:r>
                      <w:proofErr w:type="gramEnd"/>
                      <w:r>
                        <w:rPr>
                          <w:sz w:val="24"/>
                        </w:rPr>
                        <w:t xml:space="preserve"> on HSE’s INDG 163 ‘Risk assessment - A brief guide to controlling risks in the workplace’) </w:t>
                      </w:r>
                    </w:p>
                    <w:p w14:paraId="2A23E170" w14:textId="77777777" w:rsidR="00762595" w:rsidRDefault="00762595" w:rsidP="00762595">
                      <w:pPr>
                        <w:rPr>
                          <w:sz w:val="24"/>
                        </w:rPr>
                      </w:pPr>
                    </w:p>
                    <w:p w14:paraId="3D8C5F27" w14:textId="77777777" w:rsidR="00762595" w:rsidRDefault="00762595" w:rsidP="00762595">
                      <w:r>
                        <w:t>2 Pitreavie Court, South Pitreavie Business Park, Dunfermline KY11 8UU</w:t>
                      </w:r>
                    </w:p>
                    <w:p w14:paraId="4D2B305C" w14:textId="77777777" w:rsidR="00762595" w:rsidRDefault="00762595" w:rsidP="00762595">
                      <w:pPr>
                        <w:rPr>
                          <w:sz w:val="18"/>
                        </w:rPr>
                      </w:pPr>
                      <w:proofErr w:type="spellStart"/>
                      <w:proofErr w:type="gramStart"/>
                      <w:r>
                        <w:rPr>
                          <w:sz w:val="18"/>
                        </w:rPr>
                        <w:t>tel</w:t>
                      </w:r>
                      <w:proofErr w:type="spellEnd"/>
                      <w:r>
                        <w:rPr>
                          <w:sz w:val="18"/>
                        </w:rPr>
                        <w:t xml:space="preserve"> :</w:t>
                      </w:r>
                      <w:proofErr w:type="gramEnd"/>
                      <w:r>
                        <w:rPr>
                          <w:sz w:val="18"/>
                        </w:rPr>
                        <w:t xml:space="preserve"> 01383 626070</w:t>
                      </w:r>
                      <w:r>
                        <w:rPr>
                          <w:sz w:val="18"/>
                        </w:rPr>
                        <w:tab/>
                        <w:t xml:space="preserve">e-mail : </w:t>
                      </w:r>
                      <w:hyperlink r:id="rId9" w:history="1">
                        <w:r>
                          <w:rPr>
                            <w:rStyle w:val="Hyperlink"/>
                            <w:rFonts w:eastAsiaTheme="majorEastAsia"/>
                            <w:sz w:val="18"/>
                          </w:rPr>
                          <w:t>enquiries@sserc.org.uk</w:t>
                        </w:r>
                      </w:hyperlink>
                      <w:r>
                        <w:rPr>
                          <w:sz w:val="18"/>
                        </w:rPr>
                        <w:tab/>
                      </w:r>
                      <w:r>
                        <w:rPr>
                          <w:sz w:val="18"/>
                        </w:rPr>
                        <w:tab/>
                        <w:t xml:space="preserve">web : </w:t>
                      </w:r>
                      <w:hyperlink r:id="rId10" w:history="1">
                        <w:r>
                          <w:rPr>
                            <w:rStyle w:val="Hyperlink"/>
                            <w:rFonts w:eastAsiaTheme="majorEastAsia"/>
                            <w:sz w:val="18"/>
                          </w:rPr>
                          <w:t>www.sserc.org.uk</w:t>
                        </w:r>
                      </w:hyperlink>
                    </w:p>
                    <w:p w14:paraId="0CEB276C" w14:textId="77777777" w:rsidR="00762595" w:rsidRDefault="00762595" w:rsidP="00762595">
                      <w:pPr>
                        <w:jc w:val="right"/>
                        <w:rPr>
                          <w:sz w:val="18"/>
                        </w:rPr>
                      </w:pPr>
                    </w:p>
                    <w:p w14:paraId="34540039" w14:textId="77777777" w:rsidR="00762595" w:rsidRDefault="00762595" w:rsidP="00762595">
                      <w:pPr>
                        <w:rPr>
                          <w:sz w:val="24"/>
                        </w:rPr>
                      </w:pPr>
                    </w:p>
                  </w:txbxContent>
                </v:textbox>
                <w10:wrap anchorx="margin"/>
              </v:shape>
            </w:pict>
          </mc:Fallback>
        </mc:AlternateContent>
      </w:r>
      <w:r>
        <w:rPr>
          <w:noProof/>
          <w:sz w:val="24"/>
        </w:rPr>
        <w:drawing>
          <wp:inline distT="0" distB="0" distL="0" distR="0" wp14:anchorId="4DBB0DB8" wp14:editId="1C0A2636">
            <wp:extent cx="203835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8350" cy="809625"/>
                    </a:xfrm>
                    <a:prstGeom prst="rect">
                      <a:avLst/>
                    </a:prstGeom>
                    <a:noFill/>
                    <a:ln>
                      <a:noFill/>
                    </a:ln>
                  </pic:spPr>
                </pic:pic>
              </a:graphicData>
            </a:graphic>
          </wp:inline>
        </w:drawing>
      </w:r>
    </w:p>
    <w:p w14:paraId="2F33C52B" w14:textId="77777777" w:rsidR="00762595" w:rsidRDefault="00762595" w:rsidP="00762595">
      <w:pPr>
        <w:pStyle w:val="Heading1"/>
        <w:rPr>
          <w:sz w:val="24"/>
        </w:rPr>
      </w:pPr>
    </w:p>
    <w:p w14:paraId="701FC11C" w14:textId="77777777" w:rsidR="00762595" w:rsidRDefault="00762595" w:rsidP="00762595">
      <w:pPr>
        <w:pStyle w:val="Heading1"/>
        <w:rPr>
          <w:sz w:val="24"/>
        </w:rPr>
      </w:pPr>
    </w:p>
    <w:p w14:paraId="0D403BBF" w14:textId="77777777" w:rsidR="00762595" w:rsidRDefault="00762595" w:rsidP="00762595">
      <w:pPr>
        <w:pStyle w:val="Heading1"/>
        <w:ind w:left="720" w:firstLine="90"/>
        <w:rPr>
          <w:sz w:val="20"/>
        </w:rPr>
      </w:pPr>
      <w:r>
        <w:rPr>
          <w:sz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43"/>
      </w:tblGrid>
      <w:tr w:rsidR="00762595" w14:paraId="50BE1D3E"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7440C981" w14:textId="77777777" w:rsidR="00762595" w:rsidRDefault="00762595">
            <w:pPr>
              <w:pStyle w:val="Heading6"/>
            </w:pPr>
            <w:r>
              <w:t>Activity assessed</w:t>
            </w:r>
          </w:p>
        </w:tc>
        <w:tc>
          <w:tcPr>
            <w:tcW w:w="5843" w:type="dxa"/>
            <w:tcBorders>
              <w:top w:val="single" w:sz="4" w:space="0" w:color="auto"/>
              <w:left w:val="single" w:sz="4" w:space="0" w:color="auto"/>
              <w:bottom w:val="single" w:sz="4" w:space="0" w:color="auto"/>
              <w:right w:val="single" w:sz="4" w:space="0" w:color="auto"/>
            </w:tcBorders>
          </w:tcPr>
          <w:p w14:paraId="747F3FC3" w14:textId="461CD7FA" w:rsidR="00762595" w:rsidRDefault="00375943">
            <w:r>
              <w:t>Using a Bunsen burner</w:t>
            </w:r>
          </w:p>
        </w:tc>
      </w:tr>
      <w:tr w:rsidR="00762595" w14:paraId="33E8CCF3"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2874A1AD" w14:textId="77777777" w:rsidR="00762595" w:rsidRDefault="00762595">
            <w:pPr>
              <w:rPr>
                <w:i/>
                <w:iCs/>
              </w:rPr>
            </w:pPr>
            <w:r>
              <w:rPr>
                <w:i/>
                <w:iCs/>
              </w:rPr>
              <w:t>Date of assessment</w:t>
            </w:r>
          </w:p>
        </w:tc>
        <w:tc>
          <w:tcPr>
            <w:tcW w:w="5843" w:type="dxa"/>
            <w:tcBorders>
              <w:top w:val="single" w:sz="4" w:space="0" w:color="auto"/>
              <w:left w:val="single" w:sz="4" w:space="0" w:color="auto"/>
              <w:bottom w:val="single" w:sz="4" w:space="0" w:color="auto"/>
              <w:right w:val="single" w:sz="4" w:space="0" w:color="auto"/>
            </w:tcBorders>
          </w:tcPr>
          <w:p w14:paraId="1D6B2EA2" w14:textId="2F90599F" w:rsidR="00762595" w:rsidRDefault="00375943">
            <w:r>
              <w:t>August 2021</w:t>
            </w:r>
          </w:p>
        </w:tc>
      </w:tr>
      <w:tr w:rsidR="00762595" w14:paraId="5495FAB2"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050B66CA" w14:textId="77777777" w:rsidR="00762595" w:rsidRDefault="00762595">
            <w:pPr>
              <w:rPr>
                <w:i/>
                <w:iCs/>
              </w:rPr>
            </w:pPr>
            <w:r>
              <w:rPr>
                <w:i/>
                <w:iCs/>
              </w:rPr>
              <w:t>Date of review (</w:t>
            </w:r>
            <w:r>
              <w:rPr>
                <w:b/>
                <w:i/>
                <w:iCs/>
              </w:rPr>
              <w:t>Step 5</w:t>
            </w:r>
            <w:r>
              <w:rPr>
                <w:i/>
                <w:iCs/>
              </w:rPr>
              <w:t>)</w:t>
            </w:r>
          </w:p>
        </w:tc>
        <w:tc>
          <w:tcPr>
            <w:tcW w:w="5843" w:type="dxa"/>
            <w:tcBorders>
              <w:top w:val="single" w:sz="4" w:space="0" w:color="auto"/>
              <w:left w:val="single" w:sz="4" w:space="0" w:color="auto"/>
              <w:bottom w:val="single" w:sz="4" w:space="0" w:color="auto"/>
              <w:right w:val="single" w:sz="4" w:space="0" w:color="auto"/>
            </w:tcBorders>
          </w:tcPr>
          <w:p w14:paraId="21730510" w14:textId="77777777" w:rsidR="00762595" w:rsidRDefault="00762595">
            <w:pPr>
              <w:pStyle w:val="Salutation"/>
            </w:pPr>
          </w:p>
        </w:tc>
      </w:tr>
      <w:tr w:rsidR="00762595" w14:paraId="016B3B75"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18BF6E3C" w14:textId="77777777" w:rsidR="00762595" w:rsidRDefault="00762595">
            <w:pPr>
              <w:rPr>
                <w:i/>
                <w:iCs/>
              </w:rPr>
            </w:pPr>
            <w:r>
              <w:rPr>
                <w:i/>
                <w:iCs/>
              </w:rPr>
              <w:t>School</w:t>
            </w:r>
          </w:p>
        </w:tc>
        <w:tc>
          <w:tcPr>
            <w:tcW w:w="5843" w:type="dxa"/>
            <w:tcBorders>
              <w:top w:val="single" w:sz="4" w:space="0" w:color="auto"/>
              <w:left w:val="single" w:sz="4" w:space="0" w:color="auto"/>
              <w:bottom w:val="single" w:sz="4" w:space="0" w:color="auto"/>
              <w:right w:val="single" w:sz="4" w:space="0" w:color="auto"/>
            </w:tcBorders>
          </w:tcPr>
          <w:p w14:paraId="02F4B909" w14:textId="77777777" w:rsidR="00762595" w:rsidRDefault="00762595">
            <w:pPr>
              <w:pStyle w:val="Salutation"/>
            </w:pPr>
          </w:p>
        </w:tc>
      </w:tr>
      <w:tr w:rsidR="00762595" w14:paraId="3B77AA1B" w14:textId="77777777" w:rsidTr="00762595">
        <w:tc>
          <w:tcPr>
            <w:tcW w:w="3085" w:type="dxa"/>
            <w:tcBorders>
              <w:top w:val="single" w:sz="4" w:space="0" w:color="auto"/>
              <w:left w:val="single" w:sz="4" w:space="0" w:color="auto"/>
              <w:bottom w:val="single" w:sz="4" w:space="0" w:color="auto"/>
              <w:right w:val="single" w:sz="4" w:space="0" w:color="auto"/>
            </w:tcBorders>
            <w:hideMark/>
          </w:tcPr>
          <w:p w14:paraId="09D498EE" w14:textId="77777777" w:rsidR="00762595" w:rsidRDefault="00762595">
            <w:pPr>
              <w:rPr>
                <w:i/>
                <w:iCs/>
              </w:rPr>
            </w:pPr>
            <w:r>
              <w:rPr>
                <w:i/>
                <w:iCs/>
              </w:rPr>
              <w:t>Department</w:t>
            </w:r>
          </w:p>
        </w:tc>
        <w:tc>
          <w:tcPr>
            <w:tcW w:w="5843" w:type="dxa"/>
            <w:tcBorders>
              <w:top w:val="single" w:sz="4" w:space="0" w:color="auto"/>
              <w:left w:val="single" w:sz="4" w:space="0" w:color="auto"/>
              <w:bottom w:val="single" w:sz="4" w:space="0" w:color="auto"/>
              <w:right w:val="single" w:sz="4" w:space="0" w:color="auto"/>
            </w:tcBorders>
          </w:tcPr>
          <w:p w14:paraId="3BFB8705" w14:textId="77777777" w:rsidR="00762595" w:rsidRDefault="00762595"/>
        </w:tc>
      </w:tr>
    </w:tbl>
    <w:p w14:paraId="78C5B14F" w14:textId="77777777" w:rsidR="00762595" w:rsidRDefault="00762595" w:rsidP="00762595"/>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659"/>
        <w:gridCol w:w="2550"/>
        <w:gridCol w:w="6236"/>
        <w:gridCol w:w="1134"/>
        <w:gridCol w:w="993"/>
        <w:gridCol w:w="708"/>
      </w:tblGrid>
      <w:tr w:rsidR="00762595" w14:paraId="6B23D88F" w14:textId="77777777" w:rsidTr="00217DB9">
        <w:trPr>
          <w:tblHeader/>
        </w:trPr>
        <w:tc>
          <w:tcPr>
            <w:tcW w:w="2659"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53302C4B" w14:textId="77777777" w:rsidR="00762595" w:rsidRDefault="00762595">
            <w:pPr>
              <w:jc w:val="center"/>
              <w:rPr>
                <w:sz w:val="28"/>
              </w:rPr>
            </w:pPr>
            <w:r>
              <w:rPr>
                <w:sz w:val="28"/>
              </w:rPr>
              <w:t>Step 1</w:t>
            </w:r>
          </w:p>
        </w:tc>
        <w:tc>
          <w:tcPr>
            <w:tcW w:w="2550"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7A20182D" w14:textId="77777777" w:rsidR="00762595" w:rsidRDefault="00762595">
            <w:pPr>
              <w:jc w:val="center"/>
              <w:rPr>
                <w:sz w:val="28"/>
              </w:rPr>
            </w:pPr>
            <w:r>
              <w:rPr>
                <w:sz w:val="28"/>
              </w:rPr>
              <w:t>Step 2</w:t>
            </w:r>
          </w:p>
        </w:tc>
        <w:tc>
          <w:tcPr>
            <w:tcW w:w="6236"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3C4C7BDF" w14:textId="77777777" w:rsidR="00762595" w:rsidRDefault="00762595">
            <w:pPr>
              <w:jc w:val="center"/>
              <w:rPr>
                <w:sz w:val="28"/>
              </w:rPr>
            </w:pPr>
            <w:r>
              <w:rPr>
                <w:sz w:val="28"/>
              </w:rPr>
              <w:t>Step 3</w:t>
            </w:r>
          </w:p>
        </w:tc>
        <w:tc>
          <w:tcPr>
            <w:tcW w:w="2835"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14:paraId="5D38E7DC" w14:textId="77777777" w:rsidR="00762595" w:rsidRDefault="00762595">
            <w:pPr>
              <w:jc w:val="center"/>
              <w:rPr>
                <w:sz w:val="28"/>
              </w:rPr>
            </w:pPr>
            <w:r>
              <w:rPr>
                <w:sz w:val="28"/>
              </w:rPr>
              <w:t>Step 4</w:t>
            </w:r>
          </w:p>
        </w:tc>
      </w:tr>
      <w:tr w:rsidR="00762595" w14:paraId="06B137F7" w14:textId="77777777" w:rsidTr="00217DB9">
        <w:trPr>
          <w:tblHeader/>
        </w:trPr>
        <w:tc>
          <w:tcPr>
            <w:tcW w:w="265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937C688" w14:textId="77777777" w:rsidR="00762595" w:rsidRDefault="00762595">
            <w:pPr>
              <w:pStyle w:val="Salutation"/>
              <w:rPr>
                <w:sz w:val="28"/>
              </w:rPr>
            </w:pPr>
            <w:r>
              <w:rPr>
                <w:i/>
                <w:iCs/>
              </w:rPr>
              <w:t>List Significant hazards here:</w:t>
            </w:r>
          </w:p>
        </w:tc>
        <w:tc>
          <w:tcPr>
            <w:tcW w:w="2550"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4BC82E7D" w14:textId="77777777" w:rsidR="00762595" w:rsidRDefault="00762595">
            <w:pPr>
              <w:rPr>
                <w:sz w:val="28"/>
              </w:rPr>
            </w:pPr>
            <w:r>
              <w:rPr>
                <w:i/>
                <w:iCs/>
              </w:rPr>
              <w:t>Who might be harmed and how?</w:t>
            </w:r>
          </w:p>
        </w:tc>
        <w:tc>
          <w:tcPr>
            <w:tcW w:w="6236"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59AC5E81" w14:textId="77777777" w:rsidR="00762595" w:rsidRDefault="00762595">
            <w:pPr>
              <w:rPr>
                <w:i/>
                <w:iCs/>
              </w:rPr>
            </w:pPr>
            <w:r>
              <w:rPr>
                <w:i/>
                <w:iCs/>
              </w:rPr>
              <w:t>What are you already doing?</w:t>
            </w:r>
          </w:p>
          <w:p w14:paraId="44B266AF" w14:textId="77777777" w:rsidR="00762595" w:rsidRDefault="00762595">
            <w:pPr>
              <w:rPr>
                <w:i/>
                <w:iCs/>
              </w:rPr>
            </w:pPr>
            <w:r>
              <w:rPr>
                <w:i/>
                <w:iCs/>
              </w:rPr>
              <w:t>What further action is needed?</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B1A3007" w14:textId="77777777" w:rsidR="00762595" w:rsidRDefault="00762595">
            <w:pPr>
              <w:jc w:val="center"/>
              <w:rPr>
                <w:i/>
                <w:iCs/>
              </w:rPr>
            </w:pPr>
            <w:r>
              <w:rPr>
                <w:i/>
                <w:iCs/>
              </w:rPr>
              <w:t>Actions</w:t>
            </w:r>
          </w:p>
        </w:tc>
      </w:tr>
      <w:tr w:rsidR="00762595" w14:paraId="7EE0E311" w14:textId="77777777" w:rsidTr="00217DB9">
        <w:trPr>
          <w:trHeight w:val="344"/>
        </w:trPr>
        <w:tc>
          <w:tcPr>
            <w:tcW w:w="2659" w:type="dxa"/>
            <w:vMerge/>
            <w:tcBorders>
              <w:top w:val="single" w:sz="4" w:space="0" w:color="auto"/>
              <w:left w:val="single" w:sz="4" w:space="0" w:color="auto"/>
              <w:bottom w:val="single" w:sz="4" w:space="0" w:color="auto"/>
              <w:right w:val="single" w:sz="4" w:space="0" w:color="auto"/>
            </w:tcBorders>
            <w:vAlign w:val="center"/>
            <w:hideMark/>
          </w:tcPr>
          <w:p w14:paraId="57BCB3C7" w14:textId="77777777" w:rsidR="00762595" w:rsidRDefault="00762595">
            <w:pPr>
              <w:rPr>
                <w:sz w:val="28"/>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14:paraId="7D49CA35" w14:textId="77777777" w:rsidR="00762595" w:rsidRDefault="00762595">
            <w:pPr>
              <w:rPr>
                <w:sz w:val="28"/>
              </w:rPr>
            </w:pPr>
          </w:p>
        </w:tc>
        <w:tc>
          <w:tcPr>
            <w:tcW w:w="6236" w:type="dxa"/>
            <w:vMerge/>
            <w:tcBorders>
              <w:top w:val="single" w:sz="4" w:space="0" w:color="auto"/>
              <w:left w:val="single" w:sz="4" w:space="0" w:color="auto"/>
              <w:bottom w:val="single" w:sz="4" w:space="0" w:color="auto"/>
              <w:right w:val="single" w:sz="4" w:space="0" w:color="auto"/>
            </w:tcBorders>
            <w:vAlign w:val="center"/>
            <w:hideMark/>
          </w:tcPr>
          <w:p w14:paraId="12DF4932" w14:textId="77777777" w:rsidR="00762595" w:rsidRDefault="00762595">
            <w:pPr>
              <w:rPr>
                <w:i/>
                <w:iCs/>
              </w:rPr>
            </w:pPr>
          </w:p>
        </w:tc>
        <w:tc>
          <w:tcPr>
            <w:tcW w:w="1134"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B07B30C" w14:textId="77777777" w:rsidR="00762595" w:rsidRDefault="00762595">
            <w:pPr>
              <w:rPr>
                <w:i/>
                <w:iCs/>
              </w:rPr>
            </w:pPr>
            <w:r>
              <w:rPr>
                <w:i/>
                <w:iCs/>
              </w:rPr>
              <w:t>by whom?</w:t>
            </w:r>
          </w:p>
        </w:tc>
        <w:tc>
          <w:tcPr>
            <w:tcW w:w="993"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116C8976" w14:textId="77777777" w:rsidR="00762595" w:rsidRDefault="00762595">
            <w:pPr>
              <w:rPr>
                <w:i/>
                <w:iCs/>
              </w:rPr>
            </w:pPr>
            <w:r>
              <w:rPr>
                <w:i/>
                <w:iCs/>
              </w:rPr>
              <w:t>Due date</w:t>
            </w:r>
          </w:p>
        </w:tc>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14:paraId="0BE22CE4" w14:textId="77777777" w:rsidR="00762595" w:rsidRDefault="00762595">
            <w:pPr>
              <w:rPr>
                <w:i/>
                <w:iCs/>
              </w:rPr>
            </w:pPr>
            <w:r>
              <w:rPr>
                <w:i/>
                <w:iCs/>
              </w:rPr>
              <w:t>Done</w:t>
            </w:r>
          </w:p>
        </w:tc>
      </w:tr>
      <w:tr w:rsidR="00375943" w14:paraId="7BFD4E91" w14:textId="77777777" w:rsidTr="00217DB9">
        <w:trPr>
          <w:trHeight w:val="709"/>
        </w:trPr>
        <w:tc>
          <w:tcPr>
            <w:tcW w:w="2659" w:type="dxa"/>
            <w:tcBorders>
              <w:top w:val="single" w:sz="4" w:space="0" w:color="auto"/>
              <w:left w:val="single" w:sz="4" w:space="0" w:color="auto"/>
              <w:bottom w:val="single" w:sz="4" w:space="0" w:color="auto"/>
              <w:right w:val="single" w:sz="4" w:space="0" w:color="auto"/>
            </w:tcBorders>
          </w:tcPr>
          <w:p w14:paraId="4F0824AC" w14:textId="24E1A6DA" w:rsidR="00375943" w:rsidRDefault="00375943" w:rsidP="00375943">
            <w:r>
              <w:t>Potential for explosion in the event of gas leak</w:t>
            </w:r>
          </w:p>
        </w:tc>
        <w:tc>
          <w:tcPr>
            <w:tcW w:w="2550" w:type="dxa"/>
            <w:tcBorders>
              <w:top w:val="single" w:sz="4" w:space="0" w:color="auto"/>
              <w:left w:val="single" w:sz="4" w:space="0" w:color="auto"/>
              <w:bottom w:val="single" w:sz="4" w:space="0" w:color="auto"/>
              <w:right w:val="single" w:sz="4" w:space="0" w:color="auto"/>
            </w:tcBorders>
          </w:tcPr>
          <w:p w14:paraId="0673AA23" w14:textId="1893407A" w:rsidR="00375943" w:rsidRDefault="00217DB9">
            <w:r>
              <w:t>Anyone in the vicinity from explosion damage.</w:t>
            </w:r>
          </w:p>
        </w:tc>
        <w:tc>
          <w:tcPr>
            <w:tcW w:w="6236" w:type="dxa"/>
            <w:tcBorders>
              <w:top w:val="single" w:sz="4" w:space="0" w:color="auto"/>
              <w:left w:val="single" w:sz="4" w:space="0" w:color="auto"/>
              <w:bottom w:val="single" w:sz="4" w:space="0" w:color="auto"/>
              <w:right w:val="single" w:sz="4" w:space="0" w:color="auto"/>
            </w:tcBorders>
          </w:tcPr>
          <w:p w14:paraId="7A7AF8DB" w14:textId="59CC06D2" w:rsidR="00375943" w:rsidRDefault="00375943">
            <w:r>
              <w:t xml:space="preserve">Bunsen tubing should be checked regularly and replaced when needed.  </w:t>
            </w:r>
            <w:r>
              <w:t xml:space="preserve">(Orange rubber tubing </w:t>
            </w:r>
            <w:proofErr w:type="gramStart"/>
            <w:r>
              <w:t>in particular tends</w:t>
            </w:r>
            <w:proofErr w:type="gramEnd"/>
            <w:r>
              <w:t xml:space="preserve"> to perish).</w:t>
            </w:r>
          </w:p>
          <w:p w14:paraId="05389432" w14:textId="77777777" w:rsidR="00375943" w:rsidRDefault="00375943">
            <w:r>
              <w:t>Ensure that the Bunsen is firmly attached to the tubing.</w:t>
            </w:r>
            <w:r>
              <w:t xml:space="preserve"> Discourage pupils (and others) from disconnecting by putting the tubing.</w:t>
            </w:r>
          </w:p>
          <w:p w14:paraId="52BC5990" w14:textId="77777777" w:rsidR="00375943" w:rsidRDefault="00375943">
            <w:r>
              <w:t xml:space="preserve">Ensure that any island benches with gas are </w:t>
            </w:r>
            <w:r w:rsidRPr="00375943">
              <w:rPr>
                <w:b/>
                <w:bCs/>
              </w:rPr>
              <w:t>firmly</w:t>
            </w:r>
            <w:r>
              <w:t xml:space="preserve"> fixed to the floor and the gas pipes are not easily accessible to try to minimise the possibility of leaks from the joints.</w:t>
            </w:r>
          </w:p>
          <w:p w14:paraId="1E52B76A" w14:textId="7BE50E4D" w:rsidR="00217DB9" w:rsidRDefault="00217DB9">
            <w:proofErr w:type="gramStart"/>
            <w:r>
              <w:t>In reality and</w:t>
            </w:r>
            <w:proofErr w:type="gramEnd"/>
            <w:r>
              <w:t xml:space="preserve"> actual explosion is only likely in the event of a significant gas leak – the odd perished hose will be detected well before the hazard becomes significant.</w:t>
            </w:r>
          </w:p>
        </w:tc>
        <w:tc>
          <w:tcPr>
            <w:tcW w:w="1134" w:type="dxa"/>
            <w:tcBorders>
              <w:top w:val="single" w:sz="4" w:space="0" w:color="auto"/>
              <w:left w:val="single" w:sz="4" w:space="0" w:color="auto"/>
              <w:bottom w:val="single" w:sz="4" w:space="0" w:color="auto"/>
              <w:right w:val="single" w:sz="4" w:space="0" w:color="auto"/>
            </w:tcBorders>
          </w:tcPr>
          <w:p w14:paraId="665327E9" w14:textId="77777777" w:rsidR="00375943" w:rsidRDefault="00375943"/>
        </w:tc>
        <w:tc>
          <w:tcPr>
            <w:tcW w:w="993" w:type="dxa"/>
            <w:tcBorders>
              <w:top w:val="single" w:sz="4" w:space="0" w:color="auto"/>
              <w:left w:val="single" w:sz="4" w:space="0" w:color="auto"/>
              <w:bottom w:val="single" w:sz="4" w:space="0" w:color="auto"/>
              <w:right w:val="single" w:sz="4" w:space="0" w:color="auto"/>
            </w:tcBorders>
          </w:tcPr>
          <w:p w14:paraId="1F2EFDA6" w14:textId="77777777" w:rsidR="00375943" w:rsidRDefault="00375943"/>
        </w:tc>
        <w:tc>
          <w:tcPr>
            <w:tcW w:w="708" w:type="dxa"/>
            <w:tcBorders>
              <w:top w:val="single" w:sz="4" w:space="0" w:color="auto"/>
              <w:left w:val="single" w:sz="4" w:space="0" w:color="auto"/>
              <w:bottom w:val="single" w:sz="4" w:space="0" w:color="auto"/>
              <w:right w:val="single" w:sz="4" w:space="0" w:color="auto"/>
            </w:tcBorders>
          </w:tcPr>
          <w:p w14:paraId="68C58146" w14:textId="77777777" w:rsidR="00375943" w:rsidRDefault="00375943"/>
        </w:tc>
      </w:tr>
      <w:tr w:rsidR="00762595" w14:paraId="615072B6" w14:textId="77777777" w:rsidTr="00217DB9">
        <w:trPr>
          <w:trHeight w:val="709"/>
        </w:trPr>
        <w:tc>
          <w:tcPr>
            <w:tcW w:w="2659" w:type="dxa"/>
            <w:tcBorders>
              <w:top w:val="single" w:sz="4" w:space="0" w:color="auto"/>
              <w:left w:val="single" w:sz="4" w:space="0" w:color="auto"/>
              <w:bottom w:val="single" w:sz="4" w:space="0" w:color="auto"/>
              <w:right w:val="single" w:sz="4" w:space="0" w:color="auto"/>
            </w:tcBorders>
          </w:tcPr>
          <w:p w14:paraId="39D683A1" w14:textId="03531F33" w:rsidR="00375943" w:rsidRDefault="00375943" w:rsidP="00375943">
            <w:r>
              <w:t xml:space="preserve">Bunsen flame </w:t>
            </w:r>
            <w:r>
              <w:t>can cause</w:t>
            </w:r>
            <w:r>
              <w:t xml:space="preserve"> clothing, hair etc to catch fire.</w:t>
            </w:r>
          </w:p>
          <w:p w14:paraId="147404E1" w14:textId="77777777" w:rsidR="00762595" w:rsidRDefault="00762595"/>
        </w:tc>
        <w:tc>
          <w:tcPr>
            <w:tcW w:w="2550" w:type="dxa"/>
            <w:tcBorders>
              <w:top w:val="single" w:sz="4" w:space="0" w:color="auto"/>
              <w:left w:val="single" w:sz="4" w:space="0" w:color="auto"/>
              <w:bottom w:val="single" w:sz="4" w:space="0" w:color="auto"/>
              <w:right w:val="single" w:sz="4" w:space="0" w:color="auto"/>
            </w:tcBorders>
          </w:tcPr>
          <w:p w14:paraId="41EBEF66" w14:textId="544648C5" w:rsidR="00762595" w:rsidRDefault="00217DB9">
            <w:r>
              <w:t>User of other person present nearby by burns</w:t>
            </w:r>
          </w:p>
        </w:tc>
        <w:tc>
          <w:tcPr>
            <w:tcW w:w="6236" w:type="dxa"/>
            <w:tcBorders>
              <w:top w:val="single" w:sz="4" w:space="0" w:color="auto"/>
              <w:left w:val="single" w:sz="4" w:space="0" w:color="auto"/>
              <w:bottom w:val="single" w:sz="4" w:space="0" w:color="auto"/>
              <w:right w:val="single" w:sz="4" w:space="0" w:color="auto"/>
            </w:tcBorders>
          </w:tcPr>
          <w:p w14:paraId="3231537C" w14:textId="69EDFF8F" w:rsidR="00762595" w:rsidRDefault="00375943">
            <w:r>
              <w:t>Pupils should be warned of the risk of the flame being difficult to see.  Precise instructions in the use of the Bunsen should be given to pupils.</w:t>
            </w:r>
          </w:p>
          <w:p w14:paraId="6A72022A" w14:textId="0B31C8FE" w:rsidR="00217DB9" w:rsidRDefault="00217DB9">
            <w:r>
              <w:t xml:space="preserve">Long hair should be tied </w:t>
            </w:r>
            <w:proofErr w:type="gramStart"/>
            <w:r>
              <w:t>back</w:t>
            </w:r>
            <w:proofErr w:type="gramEnd"/>
            <w:r>
              <w:t xml:space="preserve"> and loose clothing secured.</w:t>
            </w:r>
          </w:p>
          <w:p w14:paraId="134BF6B9" w14:textId="295C98CF" w:rsidR="00375943" w:rsidRDefault="00375943">
            <w:r>
              <w:t>Stand Bunsen on a heat resistant mat &amp; keep it away from posters, blinds, shelves &amp; wall cupboards</w:t>
            </w:r>
          </w:p>
        </w:tc>
        <w:tc>
          <w:tcPr>
            <w:tcW w:w="1134" w:type="dxa"/>
            <w:tcBorders>
              <w:top w:val="single" w:sz="4" w:space="0" w:color="auto"/>
              <w:left w:val="single" w:sz="4" w:space="0" w:color="auto"/>
              <w:bottom w:val="single" w:sz="4" w:space="0" w:color="auto"/>
              <w:right w:val="single" w:sz="4" w:space="0" w:color="auto"/>
            </w:tcBorders>
          </w:tcPr>
          <w:p w14:paraId="6444C270"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3CE43B79"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1ACA634E" w14:textId="77777777" w:rsidR="00762595" w:rsidRDefault="00762595"/>
        </w:tc>
      </w:tr>
      <w:tr w:rsidR="00762595" w14:paraId="62192ACF" w14:textId="77777777" w:rsidTr="00217DB9">
        <w:trPr>
          <w:trHeight w:val="718"/>
        </w:trPr>
        <w:tc>
          <w:tcPr>
            <w:tcW w:w="2659" w:type="dxa"/>
            <w:tcBorders>
              <w:top w:val="single" w:sz="4" w:space="0" w:color="auto"/>
              <w:left w:val="single" w:sz="4" w:space="0" w:color="auto"/>
              <w:bottom w:val="single" w:sz="4" w:space="0" w:color="auto"/>
              <w:right w:val="single" w:sz="4" w:space="0" w:color="auto"/>
            </w:tcBorders>
          </w:tcPr>
          <w:p w14:paraId="14536843" w14:textId="7F86672C" w:rsidR="00375943" w:rsidRDefault="00375943" w:rsidP="00375943">
            <w:r>
              <w:t>Bunsen flame or hot metal can cause b</w:t>
            </w:r>
            <w:r>
              <w:t>urns to skin</w:t>
            </w:r>
          </w:p>
          <w:p w14:paraId="664DA5FA" w14:textId="77777777" w:rsidR="00762595" w:rsidRDefault="00762595"/>
        </w:tc>
        <w:tc>
          <w:tcPr>
            <w:tcW w:w="2550" w:type="dxa"/>
            <w:tcBorders>
              <w:top w:val="single" w:sz="4" w:space="0" w:color="auto"/>
              <w:left w:val="single" w:sz="4" w:space="0" w:color="auto"/>
              <w:bottom w:val="single" w:sz="4" w:space="0" w:color="auto"/>
              <w:right w:val="single" w:sz="4" w:space="0" w:color="auto"/>
            </w:tcBorders>
          </w:tcPr>
          <w:p w14:paraId="4BE55D4F" w14:textId="526D12A8" w:rsidR="00762595" w:rsidRDefault="00375943">
            <w:r>
              <w:t>User by contact burns from touching hot metal.</w:t>
            </w:r>
          </w:p>
        </w:tc>
        <w:tc>
          <w:tcPr>
            <w:tcW w:w="6236" w:type="dxa"/>
            <w:tcBorders>
              <w:top w:val="single" w:sz="4" w:space="0" w:color="auto"/>
              <w:left w:val="single" w:sz="4" w:space="0" w:color="auto"/>
              <w:bottom w:val="single" w:sz="4" w:space="0" w:color="auto"/>
              <w:right w:val="single" w:sz="4" w:space="0" w:color="auto"/>
            </w:tcBorders>
          </w:tcPr>
          <w:p w14:paraId="39397259" w14:textId="71B7F6E6" w:rsidR="00762595" w:rsidRDefault="00375943">
            <w:r>
              <w:t>Pupils should be warned that the Bunsen and accessories could be very hot.  Leave adequate time for apparatus to cool before instructing pupils to clear it away.  Provide appropriate tongs and heat resistant gloves.</w:t>
            </w:r>
          </w:p>
        </w:tc>
        <w:tc>
          <w:tcPr>
            <w:tcW w:w="1134" w:type="dxa"/>
            <w:tcBorders>
              <w:top w:val="single" w:sz="4" w:space="0" w:color="auto"/>
              <w:left w:val="single" w:sz="4" w:space="0" w:color="auto"/>
              <w:bottom w:val="single" w:sz="4" w:space="0" w:color="auto"/>
              <w:right w:val="single" w:sz="4" w:space="0" w:color="auto"/>
            </w:tcBorders>
          </w:tcPr>
          <w:p w14:paraId="6BE48138"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383E26B9"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436057E8" w14:textId="77777777" w:rsidR="00762595" w:rsidRDefault="00762595"/>
        </w:tc>
      </w:tr>
      <w:tr w:rsidR="00762595" w14:paraId="44FE6894" w14:textId="77777777" w:rsidTr="00217DB9">
        <w:trPr>
          <w:trHeight w:val="718"/>
        </w:trPr>
        <w:tc>
          <w:tcPr>
            <w:tcW w:w="2659" w:type="dxa"/>
            <w:tcBorders>
              <w:top w:val="single" w:sz="4" w:space="0" w:color="auto"/>
              <w:left w:val="single" w:sz="4" w:space="0" w:color="auto"/>
              <w:bottom w:val="single" w:sz="4" w:space="0" w:color="auto"/>
              <w:right w:val="single" w:sz="4" w:space="0" w:color="auto"/>
            </w:tcBorders>
          </w:tcPr>
          <w:p w14:paraId="0AD8D6D8" w14:textId="2297A5EB" w:rsidR="00375943" w:rsidRDefault="00375943" w:rsidP="00375943">
            <w:r>
              <w:t>Possibility of c</w:t>
            </w:r>
            <w:r>
              <w:t>arbon monoxide poisoning from incomplete combustion.</w:t>
            </w:r>
          </w:p>
          <w:p w14:paraId="7A8C24A2" w14:textId="77777777" w:rsidR="00762595" w:rsidRDefault="00762595"/>
        </w:tc>
        <w:tc>
          <w:tcPr>
            <w:tcW w:w="2550" w:type="dxa"/>
            <w:tcBorders>
              <w:top w:val="single" w:sz="4" w:space="0" w:color="auto"/>
              <w:left w:val="single" w:sz="4" w:space="0" w:color="auto"/>
              <w:bottom w:val="single" w:sz="4" w:space="0" w:color="auto"/>
              <w:right w:val="single" w:sz="4" w:space="0" w:color="auto"/>
            </w:tcBorders>
          </w:tcPr>
          <w:p w14:paraId="6D664818" w14:textId="4D7C02BF" w:rsidR="00762595" w:rsidRDefault="00375943">
            <w:r>
              <w:lastRenderedPageBreak/>
              <w:t>Anyone in the room by inhalation of carbon monoxide</w:t>
            </w:r>
          </w:p>
        </w:tc>
        <w:tc>
          <w:tcPr>
            <w:tcW w:w="6236" w:type="dxa"/>
            <w:tcBorders>
              <w:top w:val="single" w:sz="4" w:space="0" w:color="auto"/>
              <w:left w:val="single" w:sz="4" w:space="0" w:color="auto"/>
              <w:bottom w:val="single" w:sz="4" w:space="0" w:color="auto"/>
              <w:right w:val="single" w:sz="4" w:space="0" w:color="auto"/>
            </w:tcBorders>
          </w:tcPr>
          <w:p w14:paraId="31039D82" w14:textId="29822990" w:rsidR="00375943" w:rsidRDefault="00375943" w:rsidP="00375943">
            <w:proofErr w:type="spellStart"/>
            <w:r>
              <w:t>Bunsens</w:t>
            </w:r>
            <w:proofErr w:type="spellEnd"/>
            <w:r>
              <w:t xml:space="preserve"> should not be left burning when not required.  Teachers should ensure that there is adequate ventilation in the lab to prevent the </w:t>
            </w:r>
            <w:proofErr w:type="spellStart"/>
            <w:r>
              <w:t>build up</w:t>
            </w:r>
            <w:proofErr w:type="spellEnd"/>
            <w:r>
              <w:t xml:space="preserve"> of carbon monoxide.</w:t>
            </w:r>
          </w:p>
          <w:p w14:paraId="07E8BAA1" w14:textId="60A448A4" w:rsidR="00762595" w:rsidRDefault="00375943" w:rsidP="00375943">
            <w:r>
              <w:lastRenderedPageBreak/>
              <w:t xml:space="preserve">Unless </w:t>
            </w:r>
            <w:proofErr w:type="spellStart"/>
            <w:r>
              <w:t>Bunsens</w:t>
            </w:r>
            <w:proofErr w:type="spellEnd"/>
            <w:r>
              <w:t xml:space="preserve"> are left running with inadequate ventilation for a lengthy </w:t>
            </w:r>
            <w:proofErr w:type="gramStart"/>
            <w:r>
              <w:t>period of time</w:t>
            </w:r>
            <w:proofErr w:type="gramEnd"/>
            <w:r>
              <w:t>, the risk is extremely low.</w:t>
            </w:r>
          </w:p>
        </w:tc>
        <w:tc>
          <w:tcPr>
            <w:tcW w:w="1134" w:type="dxa"/>
            <w:tcBorders>
              <w:top w:val="single" w:sz="4" w:space="0" w:color="auto"/>
              <w:left w:val="single" w:sz="4" w:space="0" w:color="auto"/>
              <w:bottom w:val="single" w:sz="4" w:space="0" w:color="auto"/>
              <w:right w:val="single" w:sz="4" w:space="0" w:color="auto"/>
            </w:tcBorders>
          </w:tcPr>
          <w:p w14:paraId="064C7A59"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3EFE633A"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40317911" w14:textId="77777777" w:rsidR="00762595" w:rsidRDefault="00762595"/>
        </w:tc>
      </w:tr>
      <w:tr w:rsidR="00762595" w14:paraId="22C7A67D" w14:textId="77777777" w:rsidTr="00217DB9">
        <w:trPr>
          <w:trHeight w:val="718"/>
        </w:trPr>
        <w:tc>
          <w:tcPr>
            <w:tcW w:w="2659" w:type="dxa"/>
            <w:tcBorders>
              <w:top w:val="single" w:sz="4" w:space="0" w:color="auto"/>
              <w:left w:val="single" w:sz="4" w:space="0" w:color="auto"/>
              <w:bottom w:val="single" w:sz="4" w:space="0" w:color="auto"/>
              <w:right w:val="single" w:sz="4" w:space="0" w:color="auto"/>
            </w:tcBorders>
          </w:tcPr>
          <w:p w14:paraId="6EFEC2B7" w14:textId="52D71927" w:rsidR="00762595" w:rsidRDefault="00375943">
            <w:r>
              <w:t>Possibility of flashback in Bunsen</w:t>
            </w:r>
          </w:p>
        </w:tc>
        <w:tc>
          <w:tcPr>
            <w:tcW w:w="2550" w:type="dxa"/>
            <w:tcBorders>
              <w:top w:val="single" w:sz="4" w:space="0" w:color="auto"/>
              <w:left w:val="single" w:sz="4" w:space="0" w:color="auto"/>
              <w:bottom w:val="single" w:sz="4" w:space="0" w:color="auto"/>
              <w:right w:val="single" w:sz="4" w:space="0" w:color="auto"/>
            </w:tcBorders>
          </w:tcPr>
          <w:p w14:paraId="3E80D53A" w14:textId="3A899FB3" w:rsidR="00762595" w:rsidRDefault="00375943">
            <w:r>
              <w:t>User and others nearby by burns.</w:t>
            </w:r>
          </w:p>
        </w:tc>
        <w:tc>
          <w:tcPr>
            <w:tcW w:w="6236" w:type="dxa"/>
            <w:tcBorders>
              <w:top w:val="single" w:sz="4" w:space="0" w:color="auto"/>
              <w:left w:val="single" w:sz="4" w:space="0" w:color="auto"/>
              <w:bottom w:val="single" w:sz="4" w:space="0" w:color="auto"/>
              <w:right w:val="single" w:sz="4" w:space="0" w:color="auto"/>
            </w:tcBorders>
          </w:tcPr>
          <w:p w14:paraId="6F80D787" w14:textId="2514F64B" w:rsidR="00762595" w:rsidRDefault="00375943">
            <w:r>
              <w:t xml:space="preserve">This is very uncommon – we here at SSERC have not come across a case but it is apparently a possibility. </w:t>
            </w:r>
            <w:r>
              <w:t xml:space="preserve">Warn pupils of the danger of flashback to the air vent.  Instruct pupils to immediately turn off a Bunsen when flashback takes place.  </w:t>
            </w:r>
          </w:p>
        </w:tc>
        <w:tc>
          <w:tcPr>
            <w:tcW w:w="1134" w:type="dxa"/>
            <w:tcBorders>
              <w:top w:val="single" w:sz="4" w:space="0" w:color="auto"/>
              <w:left w:val="single" w:sz="4" w:space="0" w:color="auto"/>
              <w:bottom w:val="single" w:sz="4" w:space="0" w:color="auto"/>
              <w:right w:val="single" w:sz="4" w:space="0" w:color="auto"/>
            </w:tcBorders>
          </w:tcPr>
          <w:p w14:paraId="3CD93E7E"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753F49B4"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17FB67BE" w14:textId="77777777" w:rsidR="00762595" w:rsidRDefault="00762595"/>
        </w:tc>
      </w:tr>
      <w:tr w:rsidR="00762595" w14:paraId="304F3387" w14:textId="77777777" w:rsidTr="00217DB9">
        <w:trPr>
          <w:trHeight w:val="718"/>
        </w:trPr>
        <w:tc>
          <w:tcPr>
            <w:tcW w:w="2659" w:type="dxa"/>
            <w:tcBorders>
              <w:top w:val="single" w:sz="4" w:space="0" w:color="auto"/>
              <w:left w:val="single" w:sz="4" w:space="0" w:color="auto"/>
              <w:bottom w:val="single" w:sz="4" w:space="0" w:color="auto"/>
              <w:right w:val="single" w:sz="4" w:space="0" w:color="auto"/>
            </w:tcBorders>
          </w:tcPr>
          <w:p w14:paraId="604AC14E" w14:textId="215E8F68" w:rsidR="00762595" w:rsidRDefault="00375943">
            <w:r>
              <w:t>Possibility of gas being lit directly from the tap, causing a flare of flame</w:t>
            </w:r>
          </w:p>
        </w:tc>
        <w:tc>
          <w:tcPr>
            <w:tcW w:w="2550" w:type="dxa"/>
            <w:tcBorders>
              <w:top w:val="single" w:sz="4" w:space="0" w:color="auto"/>
              <w:left w:val="single" w:sz="4" w:space="0" w:color="auto"/>
              <w:bottom w:val="single" w:sz="4" w:space="0" w:color="auto"/>
              <w:right w:val="single" w:sz="4" w:space="0" w:color="auto"/>
            </w:tcBorders>
          </w:tcPr>
          <w:p w14:paraId="2EE6BA82" w14:textId="21FFB530" w:rsidR="00762595" w:rsidRDefault="00375943">
            <w:r>
              <w:t>User and others nearby by burns.</w:t>
            </w:r>
          </w:p>
        </w:tc>
        <w:tc>
          <w:tcPr>
            <w:tcW w:w="6236" w:type="dxa"/>
            <w:tcBorders>
              <w:top w:val="single" w:sz="4" w:space="0" w:color="auto"/>
              <w:left w:val="single" w:sz="4" w:space="0" w:color="auto"/>
              <w:bottom w:val="single" w:sz="4" w:space="0" w:color="auto"/>
              <w:right w:val="single" w:sz="4" w:space="0" w:color="auto"/>
            </w:tcBorders>
          </w:tcPr>
          <w:p w14:paraId="3F122F12" w14:textId="77777777" w:rsidR="00375943" w:rsidRDefault="00375943" w:rsidP="00375943">
            <w:r>
              <w:t xml:space="preserve">Not common (by accident) though it can happen if the wrong tap is accidentally turned. </w:t>
            </w:r>
          </w:p>
          <w:p w14:paraId="1D31F80C" w14:textId="2CE7436B" w:rsidR="00375943" w:rsidRDefault="00375943" w:rsidP="00375943">
            <w:r>
              <w:t>If the gas has flared at the tap, the tap can quickly become too hot to touch.  In such cases the teacher must turn off the gas at the main cut-off in the lab.</w:t>
            </w:r>
          </w:p>
          <w:p w14:paraId="648DD9A7" w14:textId="77777777" w:rsidR="00762595" w:rsidRDefault="00762595"/>
        </w:tc>
        <w:tc>
          <w:tcPr>
            <w:tcW w:w="1134" w:type="dxa"/>
            <w:tcBorders>
              <w:top w:val="single" w:sz="4" w:space="0" w:color="auto"/>
              <w:left w:val="single" w:sz="4" w:space="0" w:color="auto"/>
              <w:bottom w:val="single" w:sz="4" w:space="0" w:color="auto"/>
              <w:right w:val="single" w:sz="4" w:space="0" w:color="auto"/>
            </w:tcBorders>
          </w:tcPr>
          <w:p w14:paraId="30E3C000" w14:textId="77777777" w:rsidR="00762595" w:rsidRDefault="00762595"/>
        </w:tc>
        <w:tc>
          <w:tcPr>
            <w:tcW w:w="993" w:type="dxa"/>
            <w:tcBorders>
              <w:top w:val="single" w:sz="4" w:space="0" w:color="auto"/>
              <w:left w:val="single" w:sz="4" w:space="0" w:color="auto"/>
              <w:bottom w:val="single" w:sz="4" w:space="0" w:color="auto"/>
              <w:right w:val="single" w:sz="4" w:space="0" w:color="auto"/>
            </w:tcBorders>
          </w:tcPr>
          <w:p w14:paraId="2C497BCB" w14:textId="77777777" w:rsidR="00762595" w:rsidRDefault="00762595"/>
        </w:tc>
        <w:tc>
          <w:tcPr>
            <w:tcW w:w="708" w:type="dxa"/>
            <w:tcBorders>
              <w:top w:val="single" w:sz="4" w:space="0" w:color="auto"/>
              <w:left w:val="single" w:sz="4" w:space="0" w:color="auto"/>
              <w:bottom w:val="single" w:sz="4" w:space="0" w:color="auto"/>
              <w:right w:val="single" w:sz="4" w:space="0" w:color="auto"/>
            </w:tcBorders>
          </w:tcPr>
          <w:p w14:paraId="1A1EF2A4" w14:textId="77777777" w:rsidR="00762595" w:rsidRDefault="00762595"/>
        </w:tc>
      </w:tr>
    </w:tbl>
    <w:p w14:paraId="7635ED9E"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62595" w14:paraId="36BC59D1" w14:textId="77777777" w:rsidTr="00217DB9">
        <w:trPr>
          <w:trHeight w:val="2182"/>
        </w:trPr>
        <w:tc>
          <w:tcPr>
            <w:tcW w:w="14170" w:type="dxa"/>
            <w:tcBorders>
              <w:top w:val="single" w:sz="4" w:space="0" w:color="auto"/>
              <w:left w:val="single" w:sz="4" w:space="0" w:color="auto"/>
              <w:bottom w:val="single" w:sz="4" w:space="0" w:color="auto"/>
              <w:right w:val="single" w:sz="4" w:space="0" w:color="auto"/>
            </w:tcBorders>
          </w:tcPr>
          <w:p w14:paraId="0DE9B1D9" w14:textId="77777777" w:rsidR="00762595" w:rsidRDefault="00762595">
            <w:pPr>
              <w:rPr>
                <w:b/>
                <w:bCs/>
                <w:sz w:val="28"/>
              </w:rPr>
            </w:pPr>
            <w:r>
              <w:rPr>
                <w:b/>
                <w:bCs/>
                <w:sz w:val="28"/>
              </w:rPr>
              <w:t>Description of activity:</w:t>
            </w:r>
          </w:p>
          <w:p w14:paraId="59589797" w14:textId="77777777" w:rsidR="00762595" w:rsidRDefault="00762595"/>
        </w:tc>
      </w:tr>
    </w:tbl>
    <w:p w14:paraId="72CE7838" w14:textId="77777777" w:rsidR="00762595" w:rsidRDefault="00762595" w:rsidP="00762595">
      <w:pPr>
        <w:rPr>
          <w:sz w:val="28"/>
        </w:rPr>
      </w:pPr>
    </w:p>
    <w:p w14:paraId="39E9333B" w14:textId="77777777" w:rsidR="00762595" w:rsidRDefault="00762595" w:rsidP="00762595">
      <w:pPr>
        <w:rPr>
          <w:sz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762595" w14:paraId="579D4284" w14:textId="77777777" w:rsidTr="00217DB9">
        <w:trPr>
          <w:trHeight w:val="2119"/>
        </w:trPr>
        <w:tc>
          <w:tcPr>
            <w:tcW w:w="14170" w:type="dxa"/>
            <w:tcBorders>
              <w:top w:val="single" w:sz="4" w:space="0" w:color="auto"/>
              <w:left w:val="single" w:sz="4" w:space="0" w:color="auto"/>
              <w:bottom w:val="single" w:sz="4" w:space="0" w:color="auto"/>
              <w:right w:val="single" w:sz="4" w:space="0" w:color="auto"/>
            </w:tcBorders>
            <w:hideMark/>
          </w:tcPr>
          <w:p w14:paraId="09AE3D04" w14:textId="77777777" w:rsidR="00762595" w:rsidRDefault="00762595">
            <w:pPr>
              <w:rPr>
                <w:b/>
                <w:bCs/>
                <w:sz w:val="28"/>
              </w:rPr>
            </w:pPr>
            <w:r>
              <w:rPr>
                <w:b/>
                <w:bCs/>
                <w:sz w:val="28"/>
              </w:rPr>
              <w:t>Additional comments:</w:t>
            </w:r>
          </w:p>
          <w:p w14:paraId="28CD9581" w14:textId="77777777" w:rsidR="00217DB9" w:rsidRDefault="00217DB9">
            <w:pPr>
              <w:rPr>
                <w:b/>
                <w:bCs/>
                <w:sz w:val="28"/>
              </w:rPr>
            </w:pPr>
          </w:p>
          <w:p w14:paraId="56162843" w14:textId="77777777" w:rsidR="00217DB9" w:rsidRDefault="00217DB9">
            <w:pPr>
              <w:rPr>
                <w:b/>
                <w:bCs/>
                <w:sz w:val="28"/>
              </w:rPr>
            </w:pPr>
            <w:r w:rsidRPr="00217DB9">
              <w:t>Check tubing on a termly basis.</w:t>
            </w:r>
            <w:r>
              <w:rPr>
                <w:b/>
                <w:bCs/>
                <w:sz w:val="28"/>
              </w:rPr>
              <w:t xml:space="preserve"> </w:t>
            </w:r>
          </w:p>
          <w:p w14:paraId="425F2863" w14:textId="67161AFC" w:rsidR="00217DB9" w:rsidRDefault="00217DB9"/>
        </w:tc>
      </w:tr>
    </w:tbl>
    <w:p w14:paraId="470DB904" w14:textId="77777777" w:rsidR="00185440" w:rsidRDefault="00217DB9"/>
    <w:sectPr w:rsidR="00185440" w:rsidSect="00762595">
      <w:pgSz w:w="16838" w:h="11906" w:orient="landscape"/>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943"/>
    <w:rsid w:val="000147A5"/>
    <w:rsid w:val="001D1C70"/>
    <w:rsid w:val="00217DB9"/>
    <w:rsid w:val="00375943"/>
    <w:rsid w:val="00393E7C"/>
    <w:rsid w:val="003F3EA1"/>
    <w:rsid w:val="006E27A3"/>
    <w:rsid w:val="00762595"/>
    <w:rsid w:val="009601EF"/>
    <w:rsid w:val="00BA3643"/>
    <w:rsid w:val="00D24C31"/>
    <w:rsid w:val="00E82E1C"/>
    <w:rsid w:val="00EB7C10"/>
    <w:rsid w:val="00F31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4BDE"/>
  <w15:chartTrackingRefBased/>
  <w15:docId w15:val="{F0CC2C59-C6E9-4E69-8691-4B418861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line="276" w:lineRule="auto"/>
        <w:ind w:left="1145"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8"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595"/>
    <w:pPr>
      <w:spacing w:after="0" w:line="240" w:lineRule="auto"/>
      <w:ind w:left="0" w:firstLine="0"/>
    </w:pPr>
    <w:rPr>
      <w:rFonts w:ascii="Tahoma" w:eastAsia="Times New Roman" w:hAnsi="Tahoma" w:cs="Times New Roman"/>
      <w:sz w:val="20"/>
      <w:szCs w:val="20"/>
    </w:rPr>
  </w:style>
  <w:style w:type="paragraph" w:styleId="Heading1">
    <w:name w:val="heading 1"/>
    <w:basedOn w:val="Normal"/>
    <w:next w:val="Normal"/>
    <w:link w:val="Heading1Char"/>
    <w:qFormat/>
    <w:rsid w:val="00762595"/>
    <w:pPr>
      <w:keepNext/>
      <w:outlineLvl w:val="0"/>
    </w:pPr>
    <w:rPr>
      <w:rFonts w:ascii="Helvetica" w:hAnsi="Helvetica"/>
      <w:i/>
      <w:sz w:val="144"/>
    </w:rPr>
  </w:style>
  <w:style w:type="paragraph" w:styleId="Heading2">
    <w:name w:val="heading 2"/>
    <w:basedOn w:val="Normal"/>
    <w:next w:val="Normal"/>
    <w:link w:val="Heading2Char"/>
    <w:uiPriority w:val="8"/>
    <w:qFormat/>
    <w:rsid w:val="00393E7C"/>
    <w:pPr>
      <w:keepNext/>
      <w:keepLines/>
      <w:spacing w:after="120" w:line="252" w:lineRule="auto"/>
      <w:outlineLvl w:val="1"/>
    </w:pPr>
    <w:rPr>
      <w:rFonts w:ascii="Times New Roman" w:eastAsiaTheme="majorEastAsia" w:hAnsi="Times New Roman" w:cstheme="majorBidi"/>
      <w:b/>
      <w:bCs/>
      <w:sz w:val="32"/>
      <w:szCs w:val="26"/>
    </w:rPr>
  </w:style>
  <w:style w:type="paragraph" w:styleId="Heading3">
    <w:name w:val="heading 3"/>
    <w:basedOn w:val="Normal"/>
    <w:next w:val="Normal"/>
    <w:link w:val="Heading3Char"/>
    <w:uiPriority w:val="9"/>
    <w:qFormat/>
    <w:rsid w:val="00393E7C"/>
    <w:pPr>
      <w:keepNext/>
      <w:keepLines/>
      <w:spacing w:after="120" w:line="252" w:lineRule="auto"/>
      <w:outlineLvl w:val="2"/>
    </w:pPr>
    <w:rPr>
      <w:rFonts w:ascii="Times New Roman" w:eastAsiaTheme="majorEastAsia" w:hAnsi="Times New Roman"/>
      <w:b/>
      <w:bCs/>
      <w:color w:val="4F81BD" w:themeColor="accent1"/>
      <w:sz w:val="28"/>
      <w:szCs w:val="28"/>
    </w:rPr>
  </w:style>
  <w:style w:type="paragraph" w:styleId="Heading4">
    <w:name w:val="heading 4"/>
    <w:basedOn w:val="Normal"/>
    <w:next w:val="Normal"/>
    <w:link w:val="Heading4Char"/>
    <w:uiPriority w:val="9"/>
    <w:unhideWhenUsed/>
    <w:qFormat/>
    <w:rsid w:val="00393E7C"/>
    <w:pPr>
      <w:keepNext/>
      <w:keepLines/>
      <w:spacing w:before="40" w:line="252" w:lineRule="auto"/>
      <w:outlineLvl w:val="3"/>
    </w:pPr>
    <w:rPr>
      <w:rFonts w:ascii="Times New Roman" w:eastAsiaTheme="majorEastAsia" w:hAnsi="Times New Roman"/>
      <w:b/>
      <w:i/>
      <w:iCs/>
      <w:color w:val="365F91" w:themeColor="accent1" w:themeShade="BF"/>
      <w:sz w:val="24"/>
      <w:szCs w:val="24"/>
    </w:rPr>
  </w:style>
  <w:style w:type="paragraph" w:styleId="Heading5">
    <w:name w:val="heading 5"/>
    <w:basedOn w:val="Normal"/>
    <w:next w:val="Normal"/>
    <w:link w:val="Heading5Char"/>
    <w:uiPriority w:val="9"/>
    <w:unhideWhenUsed/>
    <w:qFormat/>
    <w:rsid w:val="00393E7C"/>
    <w:pPr>
      <w:keepNext/>
      <w:keepLines/>
      <w:spacing w:before="40" w:line="252" w:lineRule="auto"/>
      <w:outlineLvl w:val="4"/>
    </w:pPr>
    <w:rPr>
      <w:rFonts w:asciiTheme="majorHAnsi" w:eastAsiaTheme="majorEastAsia" w:hAnsiTheme="majorHAnsi" w:cstheme="majorBidi"/>
      <w:color w:val="365F91" w:themeColor="accent1" w:themeShade="BF"/>
      <w:sz w:val="24"/>
      <w:szCs w:val="24"/>
    </w:rPr>
  </w:style>
  <w:style w:type="paragraph" w:styleId="Heading6">
    <w:name w:val="heading 6"/>
    <w:basedOn w:val="Normal"/>
    <w:next w:val="Normal"/>
    <w:link w:val="Heading6Char"/>
    <w:semiHidden/>
    <w:unhideWhenUsed/>
    <w:qFormat/>
    <w:rsid w:val="00762595"/>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8"/>
    <w:rsid w:val="00393E7C"/>
    <w:rPr>
      <w:rFonts w:ascii="Times New Roman" w:eastAsiaTheme="majorEastAsia" w:hAnsi="Times New Roman" w:cstheme="majorBidi"/>
      <w:b/>
      <w:bCs/>
      <w:sz w:val="32"/>
      <w:szCs w:val="26"/>
    </w:rPr>
  </w:style>
  <w:style w:type="character" w:customStyle="1" w:styleId="Heading3Char">
    <w:name w:val="Heading 3 Char"/>
    <w:basedOn w:val="DefaultParagraphFont"/>
    <w:link w:val="Heading3"/>
    <w:uiPriority w:val="9"/>
    <w:rsid w:val="00393E7C"/>
    <w:rPr>
      <w:rFonts w:ascii="Times New Roman" w:eastAsiaTheme="majorEastAsia" w:hAnsi="Times New Roman" w:cs="Times New Roman"/>
      <w:b/>
      <w:bCs/>
      <w:color w:val="4F81BD" w:themeColor="accent1"/>
      <w:sz w:val="28"/>
      <w:szCs w:val="28"/>
    </w:rPr>
  </w:style>
  <w:style w:type="character" w:customStyle="1" w:styleId="Heading4Char">
    <w:name w:val="Heading 4 Char"/>
    <w:basedOn w:val="DefaultParagraphFont"/>
    <w:link w:val="Heading4"/>
    <w:uiPriority w:val="9"/>
    <w:rsid w:val="00393E7C"/>
    <w:rPr>
      <w:rFonts w:ascii="Times New Roman" w:eastAsiaTheme="majorEastAsia" w:hAnsi="Times New Roman" w:cs="Times New Roman"/>
      <w:b/>
      <w:i/>
      <w:iCs/>
      <w:color w:val="365F91" w:themeColor="accent1" w:themeShade="BF"/>
    </w:rPr>
  </w:style>
  <w:style w:type="character" w:customStyle="1" w:styleId="Heading5Char">
    <w:name w:val="Heading 5 Char"/>
    <w:basedOn w:val="DefaultParagraphFont"/>
    <w:link w:val="Heading5"/>
    <w:uiPriority w:val="9"/>
    <w:rsid w:val="00393E7C"/>
    <w:rPr>
      <w:rFonts w:asciiTheme="majorHAnsi" w:eastAsiaTheme="majorEastAsia" w:hAnsiTheme="majorHAnsi" w:cstheme="majorBidi"/>
      <w:color w:val="365F91" w:themeColor="accent1" w:themeShade="BF"/>
    </w:rPr>
  </w:style>
  <w:style w:type="paragraph" w:styleId="Title">
    <w:name w:val="Title"/>
    <w:basedOn w:val="Normal"/>
    <w:next w:val="Normal"/>
    <w:link w:val="TitleChar"/>
    <w:uiPriority w:val="10"/>
    <w:qFormat/>
    <w:rsid w:val="00393E7C"/>
    <w:pPr>
      <w:pBdr>
        <w:bottom w:val="single" w:sz="8" w:space="4" w:color="4F81BD" w:themeColor="accent1"/>
      </w:pBdr>
      <w:spacing w:before="120" w:after="240" w:line="252" w:lineRule="auto"/>
      <w:contextualSpacing/>
    </w:pPr>
    <w:rPr>
      <w:rFonts w:ascii="Times New Roman" w:eastAsiaTheme="majorEastAsia" w:hAnsi="Times New Roman"/>
      <w:color w:val="17365D" w:themeColor="text2" w:themeShade="BF"/>
      <w:spacing w:val="5"/>
      <w:kern w:val="28"/>
      <w:sz w:val="52"/>
      <w:szCs w:val="52"/>
    </w:rPr>
  </w:style>
  <w:style w:type="character" w:customStyle="1" w:styleId="TitleChar">
    <w:name w:val="Title Char"/>
    <w:basedOn w:val="DefaultParagraphFont"/>
    <w:link w:val="Title"/>
    <w:uiPriority w:val="10"/>
    <w:rsid w:val="00393E7C"/>
    <w:rPr>
      <w:rFonts w:ascii="Times New Roman" w:eastAsiaTheme="majorEastAsia" w:hAnsi="Times New Roman" w:cs="Times New Roman"/>
      <w:color w:val="17365D" w:themeColor="text2" w:themeShade="BF"/>
      <w:spacing w:val="5"/>
      <w:kern w:val="28"/>
      <w:sz w:val="52"/>
      <w:szCs w:val="52"/>
    </w:rPr>
  </w:style>
  <w:style w:type="paragraph" w:styleId="Subtitle">
    <w:name w:val="Subtitle"/>
    <w:aliases w:val="Indent"/>
    <w:basedOn w:val="Normal"/>
    <w:next w:val="Normal"/>
    <w:link w:val="SubtitleChar"/>
    <w:uiPriority w:val="11"/>
    <w:qFormat/>
    <w:rsid w:val="00393E7C"/>
    <w:pPr>
      <w:spacing w:after="120" w:line="264" w:lineRule="auto"/>
      <w:ind w:left="720"/>
    </w:pPr>
    <w:rPr>
      <w:rFonts w:ascii="Times New Roman" w:hAnsi="Times New Roman" w:cstheme="minorBidi"/>
      <w:i/>
      <w:color w:val="333333"/>
      <w:sz w:val="24"/>
      <w:szCs w:val="24"/>
      <w:lang w:eastAsia="en-GB"/>
    </w:rPr>
  </w:style>
  <w:style w:type="character" w:customStyle="1" w:styleId="SubtitleChar">
    <w:name w:val="Subtitle Char"/>
    <w:aliases w:val="Indent Char"/>
    <w:basedOn w:val="DefaultParagraphFont"/>
    <w:link w:val="Subtitle"/>
    <w:uiPriority w:val="11"/>
    <w:rsid w:val="00393E7C"/>
    <w:rPr>
      <w:rFonts w:ascii="Times New Roman" w:eastAsia="Times New Roman" w:hAnsi="Times New Roman"/>
      <w:i/>
      <w:color w:val="333333"/>
      <w:lang w:eastAsia="en-GB"/>
    </w:rPr>
  </w:style>
  <w:style w:type="paragraph" w:styleId="NoSpacing">
    <w:name w:val="No Spacing"/>
    <w:basedOn w:val="Normal"/>
    <w:link w:val="NoSpacingChar"/>
    <w:uiPriority w:val="2"/>
    <w:qFormat/>
    <w:rsid w:val="00393E7C"/>
    <w:pPr>
      <w:spacing w:after="120" w:line="252" w:lineRule="auto"/>
      <w:ind w:left="567"/>
    </w:pPr>
    <w:rPr>
      <w:rFonts w:ascii="Times New Roman" w:eastAsiaTheme="minorHAnsi" w:hAnsi="Times New Roman" w:cstheme="minorBidi"/>
      <w:i/>
      <w:sz w:val="24"/>
      <w:szCs w:val="24"/>
    </w:rPr>
  </w:style>
  <w:style w:type="character" w:customStyle="1" w:styleId="NoSpacingChar">
    <w:name w:val="No Spacing Char"/>
    <w:basedOn w:val="DefaultParagraphFont"/>
    <w:link w:val="NoSpacing"/>
    <w:uiPriority w:val="2"/>
    <w:rsid w:val="00393E7C"/>
    <w:rPr>
      <w:rFonts w:ascii="Times New Roman" w:hAnsi="Times New Roman"/>
      <w:i/>
    </w:rPr>
  </w:style>
  <w:style w:type="paragraph" w:styleId="ListParagraph">
    <w:name w:val="List Paragraph"/>
    <w:basedOn w:val="Normal"/>
    <w:uiPriority w:val="34"/>
    <w:qFormat/>
    <w:rsid w:val="00393E7C"/>
    <w:pPr>
      <w:spacing w:after="120" w:line="252" w:lineRule="auto"/>
      <w:ind w:left="720"/>
      <w:contextualSpacing/>
    </w:pPr>
    <w:rPr>
      <w:rFonts w:ascii="Times New Roman" w:eastAsiaTheme="minorHAnsi" w:hAnsi="Times New Roman" w:cstheme="minorBidi"/>
      <w:sz w:val="24"/>
      <w:szCs w:val="24"/>
    </w:rPr>
  </w:style>
  <w:style w:type="character" w:customStyle="1" w:styleId="Heading1Char">
    <w:name w:val="Heading 1 Char"/>
    <w:basedOn w:val="DefaultParagraphFont"/>
    <w:link w:val="Heading1"/>
    <w:rsid w:val="00762595"/>
    <w:rPr>
      <w:rFonts w:ascii="Helvetica" w:eastAsia="Times New Roman" w:hAnsi="Helvetica" w:cs="Times New Roman"/>
      <w:i/>
      <w:sz w:val="144"/>
      <w:szCs w:val="20"/>
      <w:lang w:val="en-US"/>
    </w:rPr>
  </w:style>
  <w:style w:type="character" w:customStyle="1" w:styleId="Heading6Char">
    <w:name w:val="Heading 6 Char"/>
    <w:basedOn w:val="DefaultParagraphFont"/>
    <w:link w:val="Heading6"/>
    <w:semiHidden/>
    <w:rsid w:val="00762595"/>
    <w:rPr>
      <w:rFonts w:ascii="Tahoma" w:eastAsia="Times New Roman" w:hAnsi="Tahoma" w:cs="Times New Roman"/>
      <w:i/>
      <w:iCs/>
      <w:sz w:val="20"/>
      <w:szCs w:val="20"/>
      <w:lang w:val="en-US"/>
    </w:rPr>
  </w:style>
  <w:style w:type="character" w:styleId="Hyperlink">
    <w:name w:val="Hyperlink"/>
    <w:basedOn w:val="DefaultParagraphFont"/>
    <w:semiHidden/>
    <w:unhideWhenUsed/>
    <w:rsid w:val="00762595"/>
    <w:rPr>
      <w:color w:val="0000FF"/>
      <w:u w:val="single"/>
    </w:rPr>
  </w:style>
  <w:style w:type="paragraph" w:styleId="Salutation">
    <w:name w:val="Salutation"/>
    <w:basedOn w:val="Normal"/>
    <w:next w:val="Normal"/>
    <w:link w:val="SalutationChar"/>
    <w:semiHidden/>
    <w:unhideWhenUsed/>
    <w:rsid w:val="00762595"/>
  </w:style>
  <w:style w:type="character" w:customStyle="1" w:styleId="SalutationChar">
    <w:name w:val="Salutation Char"/>
    <w:basedOn w:val="DefaultParagraphFont"/>
    <w:link w:val="Salutation"/>
    <w:semiHidden/>
    <w:rsid w:val="00762595"/>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erc.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mailto:enquiries@sserc.org.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sserc.org.uk" TargetMode="External"/><Relationship Id="rId4" Type="http://schemas.openxmlformats.org/officeDocument/2006/relationships/styles" Target="styles.xml"/><Relationship Id="rId9" Type="http://schemas.openxmlformats.org/officeDocument/2006/relationships/hyperlink" Target="mailto:enquiries@sserc.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neDrive%20-%20SSERC%20Ltd\Chemistry\Risk%20Assessments\01%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7BFF7405B0D438D6AE5F4697AA321" ma:contentTypeVersion="33" ma:contentTypeDescription="Create a new document." ma:contentTypeScope="" ma:versionID="bf5e0a74f1b3f24593935fa6e23c7ab8">
  <xsd:schema xmlns:xsd="http://www.w3.org/2001/XMLSchema" xmlns:xs="http://www.w3.org/2001/XMLSchema" xmlns:p="http://schemas.microsoft.com/office/2006/metadata/properties" xmlns:ns1="http://schemas.microsoft.com/sharepoint/v3" xmlns:ns3="636fe242-164e-4f1e-a95b-8eae9b9c3aff" xmlns:ns4="14c3d975-da9d-4531-8ac6-588f317dca61" targetNamespace="http://schemas.microsoft.com/office/2006/metadata/properties" ma:root="true" ma:fieldsID="5facacb3212f74a919b3bdc8b92e547d" ns1:_="" ns3:_="" ns4:_="">
    <xsd:import namespace="http://schemas.microsoft.com/sharepoint/v3"/>
    <xsd:import namespace="636fe242-164e-4f1e-a95b-8eae9b9c3aff"/>
    <xsd:import namespace="14c3d975-da9d-4531-8ac6-588f317dca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6fe242-164e-4f1e-a95b-8eae9b9c3a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c3d975-da9d-4531-8ac6-588f317dca6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636fe242-164e-4f1e-a95b-8eae9b9c3aff" xsi:nil="true"/>
    <LMS_Mappings xmlns="636fe242-164e-4f1e-a95b-8eae9b9c3aff" xsi:nil="true"/>
    <_ip_UnifiedCompliancePolicyUIAction xmlns="http://schemas.microsoft.com/sharepoint/v3" xsi:nil="true"/>
    <Owner xmlns="636fe242-164e-4f1e-a95b-8eae9b9c3aff">
      <UserInfo>
        <DisplayName/>
        <AccountId xsi:nil="true"/>
        <AccountType/>
      </UserInfo>
    </Owner>
    <Students xmlns="636fe242-164e-4f1e-a95b-8eae9b9c3aff">
      <UserInfo>
        <DisplayName/>
        <AccountId xsi:nil="true"/>
        <AccountType/>
      </UserInfo>
    </Students>
    <Has_Teacher_Only_SectionGroup xmlns="636fe242-164e-4f1e-a95b-8eae9b9c3aff" xsi:nil="true"/>
    <AppVersion xmlns="636fe242-164e-4f1e-a95b-8eae9b9c3aff" xsi:nil="true"/>
    <Invited_Students xmlns="636fe242-164e-4f1e-a95b-8eae9b9c3aff" xsi:nil="true"/>
    <FolderType xmlns="636fe242-164e-4f1e-a95b-8eae9b9c3aff" xsi:nil="true"/>
    <CultureName xmlns="636fe242-164e-4f1e-a95b-8eae9b9c3aff" xsi:nil="true"/>
    <_ip_UnifiedCompliancePolicyProperties xmlns="http://schemas.microsoft.com/sharepoint/v3" xsi:nil="true"/>
    <Math_Settings xmlns="636fe242-164e-4f1e-a95b-8eae9b9c3aff" xsi:nil="true"/>
    <Templates xmlns="636fe242-164e-4f1e-a95b-8eae9b9c3aff" xsi:nil="true"/>
    <Distribution_Groups xmlns="636fe242-164e-4f1e-a95b-8eae9b9c3aff" xsi:nil="true"/>
    <Self_Registration_Enabled xmlns="636fe242-164e-4f1e-a95b-8eae9b9c3aff" xsi:nil="true"/>
    <DefaultSectionNames xmlns="636fe242-164e-4f1e-a95b-8eae9b9c3aff" xsi:nil="true"/>
    <TeamsChannelId xmlns="636fe242-164e-4f1e-a95b-8eae9b9c3aff" xsi:nil="true"/>
    <Invited_Teachers xmlns="636fe242-164e-4f1e-a95b-8eae9b9c3aff" xsi:nil="true"/>
    <IsNotebookLocked xmlns="636fe242-164e-4f1e-a95b-8eae9b9c3aff" xsi:nil="true"/>
    <NotebookType xmlns="636fe242-164e-4f1e-a95b-8eae9b9c3aff" xsi:nil="true"/>
    <Teachers xmlns="636fe242-164e-4f1e-a95b-8eae9b9c3aff">
      <UserInfo>
        <DisplayName/>
        <AccountId xsi:nil="true"/>
        <AccountType/>
      </UserInfo>
    </Teachers>
    <Student_Groups xmlns="636fe242-164e-4f1e-a95b-8eae9b9c3aff">
      <UserInfo>
        <DisplayName/>
        <AccountId xsi:nil="true"/>
        <AccountType/>
      </UserInfo>
    </Student_Groups>
  </documentManagement>
</p:properties>
</file>

<file path=customXml/itemProps1.xml><?xml version="1.0" encoding="utf-8"?>
<ds:datastoreItem xmlns:ds="http://schemas.openxmlformats.org/officeDocument/2006/customXml" ds:itemID="{BA1E7BEA-531F-47B6-BFE0-220483C2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fe242-164e-4f1e-a95b-8eae9b9c3aff"/>
    <ds:schemaRef ds:uri="14c3d975-da9d-4531-8ac6-588f317dc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ADFCC-8388-449A-BE0C-E4F762EF3460}">
  <ds:schemaRefs>
    <ds:schemaRef ds:uri="http://schemas.microsoft.com/sharepoint/v3/contenttype/forms"/>
  </ds:schemaRefs>
</ds:datastoreItem>
</file>

<file path=customXml/itemProps3.xml><?xml version="1.0" encoding="utf-8"?>
<ds:datastoreItem xmlns:ds="http://schemas.openxmlformats.org/officeDocument/2006/customXml" ds:itemID="{8467D655-D614-4D21-B44B-8020D904E2D1}">
  <ds:schemaRefs>
    <ds:schemaRef ds:uri="http://schemas.microsoft.com/office/2006/metadata/properties"/>
    <ds:schemaRef ds:uri="http://schemas.microsoft.com/office/infopath/2007/PartnerControls"/>
    <ds:schemaRef ds:uri="636fe242-164e-4f1e-a95b-8eae9b9c3a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01 Risk Assessment Template.dotx</Template>
  <TotalTime>11</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Lloyd</cp:lastModifiedBy>
  <cp:revision>1</cp:revision>
  <dcterms:created xsi:type="dcterms:W3CDTF">2022-10-06T14:21:00Z</dcterms:created>
  <dcterms:modified xsi:type="dcterms:W3CDTF">2022-10-06T14:36:00Z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0x010100AAA7BFF7405B0D438D6AE5F4697AA321</vt:lpwstr>
  </property>
</Properties>
</file>