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09BAB" w14:textId="77777777" w:rsidR="00762595" w:rsidRDefault="00762595" w:rsidP="00762595">
      <w:pPr>
        <w:pStyle w:val="Heading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DD2721" wp14:editId="37330C42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F47BB" w14:textId="77777777" w:rsidR="00762595" w:rsidRDefault="00762595" w:rsidP="0076259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E6FB94F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(based on HSE’s INDG 163 ‘Risk assessment - A brief guide to controlling risks in the workplace’) </w:t>
                            </w:r>
                          </w:p>
                          <w:p w14:paraId="5F24E683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5AC0F20" w14:textId="77777777" w:rsidR="00762595" w:rsidRDefault="00762595" w:rsidP="00762595">
                            <w:r>
                              <w:t>2 Pitreavie Court, South Pitreavie Business Park, Dunfermline KY11 8UU</w:t>
                            </w:r>
                          </w:p>
                          <w:p w14:paraId="54CD08CE" w14:textId="77777777" w:rsidR="00762595" w:rsidRDefault="00762595" w:rsidP="00762595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58D799EE" w14:textId="77777777" w:rsidR="00762595" w:rsidRDefault="00762595" w:rsidP="0076259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62392A28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DD27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7.2pt;margin-top:.5pt;width:548.4pt;height:82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1h98w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LuVCCgs9j+hZ&#10;j0G8w1EsojqD8wUnPTlOCyO7ecqpU+8eUX3zwuJdC3anb4lwaDXUzC6PL7OLpxOOjyDV8BFrLgP7&#10;gAlobKiP0rEYgtF5SsfzZCIVxc719Xq5vuKQ4lg+X+WrdZpdBsXLc0c+vNfYi3gpJfHoEzwcHn2I&#10;dKB4SYnVLD6Yrkvj7+xvDk6MnkQ/Mp64h7EaT3JUWB+5EcJpm3j7+dIi/ZBi4E0qpf++B9JSdB8s&#10;i3GdL5dx9ZKxXL1dsEGXkeoyAlYxVCmDFNP1Lkzrundkdi1XmuS3eMsCNia1FpWeWJ1487akjk+b&#10;Hdfx0k5Zv/7f9icAAAD//wMAUEsDBBQABgAIAAAAIQDKSpG73QAAAAcBAAAPAAAAZHJzL2Rvd25y&#10;ZXYueG1sTI9PS8NAEMXvgt9hGcFLaTdtYa0xmyJCT4Jgq9jjNjsmobuzIbtJ47d3etLT/HnDm98r&#10;tpN3YsQ+toE0LBcZCKQq2JZqDR+H3XwDIiZD1rhAqOEHI2zL25vC5DZc6B3HfaoFm1DMjYYmpS6X&#10;MlYNehMXoUNi7Tv03iQe+1ra3lzY3Du5yjIlvWmJPzSmw5cGq/N+8BrGbv16dMNq15ynh+XXm5qt&#10;Pzczre/vpucnEAmn9HcMV3xGh5KZTmEgG4XTwEESb7lcxexRcZATd0opkGUh//OXvwAAAP//AwBQ&#10;SwECLQAUAAYACAAAACEAtoM4kv4AAADhAQAAEwAAAAAAAAAAAAAAAAAAAAAAW0NvbnRlbnRfVHlw&#10;ZXNdLnhtbFBLAQItABQABgAIAAAAIQA4/SH/1gAAAJQBAAALAAAAAAAAAAAAAAAAAC8BAABfcmVs&#10;cy8ucmVsc1BLAQItABQABgAIAAAAIQDzg1h98wEAAMcDAAAOAAAAAAAAAAAAAAAAAC4CAABkcnMv&#10;ZTJvRG9jLnhtbFBLAQItABQABgAIAAAAIQDKSpG73QAAAAcBAAAPAAAAAAAAAAAAAAAAAE0EAABk&#10;cnMvZG93bnJldi54bWxQSwUGAAAAAAQABADzAAAAVwUAAAAA&#10;" filled="f" fillcolor="silver" stroked="f">
                <v:textbox>
                  <w:txbxContent>
                    <w:p w14:paraId="4AFF47BB" w14:textId="77777777" w:rsidR="00762595" w:rsidRDefault="00762595" w:rsidP="00762595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E6FB94F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</w:t>
                      </w:r>
                      <w:proofErr w:type="gramStart"/>
                      <w:r>
                        <w:rPr>
                          <w:sz w:val="24"/>
                        </w:rPr>
                        <w:t>based</w:t>
                      </w:r>
                      <w:proofErr w:type="gramEnd"/>
                      <w:r>
                        <w:rPr>
                          <w:sz w:val="24"/>
                        </w:rPr>
                        <w:t xml:space="preserve"> on HSE’s INDG 163 ‘Risk assessment - A brief guide to controlling risks in the workplace’) </w:t>
                      </w:r>
                    </w:p>
                    <w:p w14:paraId="5F24E683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  <w:p w14:paraId="25AC0F20" w14:textId="77777777" w:rsidR="00762595" w:rsidRDefault="00762595" w:rsidP="00762595">
                      <w:r>
                        <w:t>2 Pitreavie Court, South Pitreavie Business Park, Dunfermline KY11 8UU</w:t>
                      </w:r>
                    </w:p>
                    <w:p w14:paraId="54CD08CE" w14:textId="77777777" w:rsidR="00762595" w:rsidRDefault="00762595" w:rsidP="00762595">
                      <w:pPr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9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0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58D799EE" w14:textId="77777777" w:rsidR="00762595" w:rsidRDefault="00762595" w:rsidP="00762595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62392A28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C6A0FB3" wp14:editId="4BE92A0E">
            <wp:extent cx="203835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0C3B7" w14:textId="77777777" w:rsidR="00762595" w:rsidRDefault="00762595" w:rsidP="00762595">
      <w:pPr>
        <w:pStyle w:val="Heading1"/>
        <w:rPr>
          <w:sz w:val="24"/>
        </w:rPr>
      </w:pPr>
    </w:p>
    <w:p w14:paraId="39412018" w14:textId="77777777" w:rsidR="00762595" w:rsidRDefault="00762595" w:rsidP="00762595">
      <w:pPr>
        <w:pStyle w:val="Heading1"/>
        <w:rPr>
          <w:sz w:val="24"/>
        </w:rPr>
      </w:pPr>
    </w:p>
    <w:p w14:paraId="1278FFAE" w14:textId="77777777" w:rsidR="00762595" w:rsidRDefault="00762595" w:rsidP="00762595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843"/>
      </w:tblGrid>
      <w:tr w:rsidR="00762595" w14:paraId="09C85D4D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6A36" w14:textId="77777777" w:rsidR="00762595" w:rsidRDefault="00762595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75B4" w14:textId="05985B6F" w:rsidR="00762595" w:rsidRDefault="00F6593D">
            <w:r>
              <w:t>Sugar Snake</w:t>
            </w:r>
          </w:p>
        </w:tc>
      </w:tr>
      <w:tr w:rsidR="00762595" w14:paraId="4897E149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FFD74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4AF9" w14:textId="17FCE245" w:rsidR="00762595" w:rsidRDefault="00F6593D">
            <w:r>
              <w:t>November 2022</w:t>
            </w:r>
          </w:p>
        </w:tc>
      </w:tr>
      <w:tr w:rsidR="00762595" w14:paraId="584904B2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9B85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E34D" w14:textId="77777777" w:rsidR="00762595" w:rsidRDefault="00762595">
            <w:pPr>
              <w:pStyle w:val="Salutation"/>
            </w:pPr>
          </w:p>
        </w:tc>
      </w:tr>
      <w:tr w:rsidR="00762595" w14:paraId="242BF6CB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60718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E2D0" w14:textId="77777777" w:rsidR="00762595" w:rsidRDefault="00762595">
            <w:pPr>
              <w:pStyle w:val="Salutation"/>
            </w:pPr>
          </w:p>
        </w:tc>
      </w:tr>
      <w:tr w:rsidR="00762595" w14:paraId="3DE582B7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8A2F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0F01" w14:textId="77777777" w:rsidR="00762595" w:rsidRDefault="00762595"/>
        </w:tc>
      </w:tr>
    </w:tbl>
    <w:p w14:paraId="28D468CB" w14:textId="77777777" w:rsidR="00762595" w:rsidRDefault="00762595" w:rsidP="00762595"/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9"/>
        <w:gridCol w:w="2550"/>
        <w:gridCol w:w="6236"/>
        <w:gridCol w:w="1134"/>
        <w:gridCol w:w="993"/>
        <w:gridCol w:w="708"/>
      </w:tblGrid>
      <w:tr w:rsidR="00762595" w14:paraId="62E7522F" w14:textId="77777777" w:rsidTr="00190917">
        <w:trPr>
          <w:tblHeader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77C50411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5C39F596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368F6D9C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376CC5A6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762595" w14:paraId="794EFD60" w14:textId="77777777" w:rsidTr="00190917">
        <w:trPr>
          <w:tblHeader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F48CFF4" w14:textId="77777777" w:rsidR="00762595" w:rsidRDefault="00762595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75EBFA7" w14:textId="77777777" w:rsidR="00762595" w:rsidRDefault="00762595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8EB0E62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C939F97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565E4377" w14:textId="77777777" w:rsidR="00762595" w:rsidRDefault="007625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</w:tr>
      <w:tr w:rsidR="00762595" w14:paraId="28FD659E" w14:textId="77777777" w:rsidTr="00190917">
        <w:trPr>
          <w:trHeight w:val="344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B4136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9FD7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DD22C" w14:textId="77777777" w:rsidR="00762595" w:rsidRDefault="00762595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C34BE5F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E781AEE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0ADDCD4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9B3CBD" w14:paraId="4F18C91A" w14:textId="77777777" w:rsidTr="00190917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B375" w14:textId="35611395" w:rsidR="009B3CBD" w:rsidRPr="00AE05A2" w:rsidRDefault="009B3CBD" w:rsidP="00AE05A2">
            <w:r>
              <w:t>Sulphuric acid is an oxidiser and highly corrosive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85F7" w14:textId="6700B417" w:rsidR="009B3CBD" w:rsidRDefault="009B3CBD" w:rsidP="00AE05A2">
            <w:r>
              <w:t>T</w:t>
            </w:r>
            <w:r w:rsidR="00D151A8">
              <w:t>eacher</w:t>
            </w:r>
            <w:r>
              <w:t xml:space="preserve"> </w:t>
            </w:r>
            <w:r w:rsidR="00D151A8">
              <w:t>during demonstration</w:t>
            </w:r>
            <w:r>
              <w:t xml:space="preserve"> by spills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3550" w14:textId="3EAE2EE7" w:rsidR="009B3CBD" w:rsidRDefault="009B3CBD" w:rsidP="00AE05A2">
            <w:r>
              <w:t>Wear a face mask or goggles (EN 166 3) and gloves.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1D12" w14:textId="77777777" w:rsidR="009B3CBD" w:rsidRDefault="009B3CBD" w:rsidP="00AE05A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21AB" w14:textId="77777777" w:rsidR="009B3CBD" w:rsidRDefault="009B3CBD" w:rsidP="00AE05A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66B4" w14:textId="77777777" w:rsidR="009B3CBD" w:rsidRDefault="009B3CBD" w:rsidP="00AE05A2"/>
        </w:tc>
      </w:tr>
      <w:tr w:rsidR="009B3CBD" w14:paraId="20F43C4A" w14:textId="77777777" w:rsidTr="00190917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C34F" w14:textId="5254708D" w:rsidR="009B3CBD" w:rsidRDefault="00374830" w:rsidP="00AE05A2">
            <w:r>
              <w:t xml:space="preserve">Sulphur dioxide given off in the reaction is toxic and a </w:t>
            </w:r>
            <w:proofErr w:type="spellStart"/>
            <w:r>
              <w:t>asthmagen</w:t>
            </w:r>
            <w:proofErr w:type="spellEnd"/>
            <w:r>
              <w:t>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7BB3" w14:textId="7812F513" w:rsidR="009B3CBD" w:rsidRDefault="00374830" w:rsidP="00AE05A2">
            <w:r>
              <w:t>Teacher or others by inhalation.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5F3C" w14:textId="39372C59" w:rsidR="009B3CBD" w:rsidRDefault="00374830" w:rsidP="00AE05A2">
            <w:r>
              <w:t>Reaction should be carried out in a fume cupboard.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7F7F" w14:textId="77777777" w:rsidR="009B3CBD" w:rsidRDefault="009B3CBD" w:rsidP="00AE05A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3142" w14:textId="77777777" w:rsidR="009B3CBD" w:rsidRDefault="009B3CBD" w:rsidP="00AE05A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9036" w14:textId="77777777" w:rsidR="009B3CBD" w:rsidRDefault="009B3CBD" w:rsidP="00AE05A2"/>
        </w:tc>
      </w:tr>
      <w:tr w:rsidR="005079C4" w14:paraId="5E2C335E" w14:textId="77777777" w:rsidTr="00190917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7146" w14:textId="5F790DD3" w:rsidR="005079C4" w:rsidRDefault="00374830" w:rsidP="00AE05A2">
            <w:r>
              <w:t>Reaction produces a significant amount of heat.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91D4" w14:textId="2CAFDB0F" w:rsidR="005079C4" w:rsidRDefault="00374830" w:rsidP="00AE05A2">
            <w:r>
              <w:t>Teacher or technician by burns while clearing up.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2E2E" w14:textId="04E426B8" w:rsidR="005079C4" w:rsidRDefault="00374830" w:rsidP="00AE05A2">
            <w:r>
              <w:t>Leave to cool before clearing away.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9572" w14:textId="77777777" w:rsidR="005079C4" w:rsidRDefault="005079C4" w:rsidP="00AE05A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FE1F" w14:textId="77777777" w:rsidR="005079C4" w:rsidRDefault="005079C4" w:rsidP="00AE05A2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BE95" w14:textId="77777777" w:rsidR="005079C4" w:rsidRDefault="005079C4" w:rsidP="00AE05A2"/>
        </w:tc>
      </w:tr>
    </w:tbl>
    <w:p w14:paraId="08952C32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762595" w14:paraId="33B13A16" w14:textId="77777777" w:rsidTr="00A33D76">
        <w:trPr>
          <w:trHeight w:val="2117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3BBA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135225ED" w14:textId="77777777" w:rsidR="00762595" w:rsidRDefault="00762595"/>
          <w:p w14:paraId="257925F0" w14:textId="5E56F5B4" w:rsidR="005079C4" w:rsidRDefault="00374830">
            <w:r>
              <w:t xml:space="preserve">Sucrose is placed in a beaker in a fume cupboard and concentrated sulphuric acid added. The mixture goes yellow then brown to black and eventually gets hot enough that the water released </w:t>
            </w:r>
            <w:r w:rsidR="00A33D76">
              <w:t>turns to steam which “aerates” the mixture producing a honeycomb ‘snake’ of carbon.</w:t>
            </w:r>
          </w:p>
        </w:tc>
      </w:tr>
    </w:tbl>
    <w:p w14:paraId="310E25ED" w14:textId="77777777" w:rsidR="00762595" w:rsidRDefault="00762595" w:rsidP="00762595">
      <w:pPr>
        <w:rPr>
          <w:sz w:val="28"/>
        </w:rPr>
      </w:pPr>
    </w:p>
    <w:p w14:paraId="06D1B6F7" w14:textId="77777777" w:rsidR="00762595" w:rsidRDefault="00762595" w:rsidP="00762595">
      <w:pPr>
        <w:rPr>
          <w:sz w:val="28"/>
        </w:rPr>
      </w:pPr>
    </w:p>
    <w:p w14:paraId="3664C83F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0"/>
      </w:tblGrid>
      <w:tr w:rsidR="00762595" w14:paraId="125D8568" w14:textId="77777777" w:rsidTr="00762595">
        <w:trPr>
          <w:trHeight w:val="2509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C6C2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2BBE6C79" w14:textId="77777777" w:rsidR="00932C7A" w:rsidRDefault="00932C7A">
            <w:pPr>
              <w:rPr>
                <w:b/>
                <w:bCs/>
                <w:sz w:val="28"/>
              </w:rPr>
            </w:pPr>
          </w:p>
          <w:p w14:paraId="5362DA4C" w14:textId="6274C7F1" w:rsidR="00932C7A" w:rsidRPr="00932C7A" w:rsidRDefault="00932C7A">
            <w:r w:rsidRPr="00932C7A">
              <w:t>Disposal</w:t>
            </w:r>
            <w:r>
              <w:t xml:space="preserve"> </w:t>
            </w:r>
            <w:r w:rsidR="004E304B">
              <w:t>–</w:t>
            </w:r>
            <w:r>
              <w:t xml:space="preserve"> </w:t>
            </w:r>
            <w:r w:rsidR="004E304B">
              <w:t>The</w:t>
            </w:r>
            <w:r w:rsidR="00B64564">
              <w:t xml:space="preserve"> </w:t>
            </w:r>
            <w:r w:rsidR="00A33D76">
              <w:t xml:space="preserve">Carbon will still contain </w:t>
            </w:r>
            <w:r w:rsidR="009547C4">
              <w:t xml:space="preserve">unreacted acid. The mixture should be placed in a </w:t>
            </w:r>
            <w:r w:rsidR="004426DA">
              <w:t xml:space="preserve">large bowl of water and left to dilute the acid. </w:t>
            </w:r>
            <w:r w:rsidR="006B60F6">
              <w:t xml:space="preserve">It can then be roughly neutralised and washed to waste. The solid lumps of carbon can either be broken up and go sown the drain or </w:t>
            </w:r>
            <w:r w:rsidR="000C5FF4">
              <w:t>removed with a sieve and put in the domestic waste.</w:t>
            </w:r>
          </w:p>
        </w:tc>
      </w:tr>
    </w:tbl>
    <w:p w14:paraId="28D39A8F" w14:textId="77777777" w:rsidR="00185440" w:rsidRDefault="00F6593D"/>
    <w:sectPr w:rsidR="00185440" w:rsidSect="00762595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53"/>
    <w:rsid w:val="000147A5"/>
    <w:rsid w:val="000C5FF4"/>
    <w:rsid w:val="00190917"/>
    <w:rsid w:val="001D1C70"/>
    <w:rsid w:val="00216253"/>
    <w:rsid w:val="00374830"/>
    <w:rsid w:val="00393E7C"/>
    <w:rsid w:val="003F3EA1"/>
    <w:rsid w:val="004426DA"/>
    <w:rsid w:val="004E304B"/>
    <w:rsid w:val="005079C4"/>
    <w:rsid w:val="006B60F6"/>
    <w:rsid w:val="006E27A3"/>
    <w:rsid w:val="00762595"/>
    <w:rsid w:val="008470EE"/>
    <w:rsid w:val="008B345C"/>
    <w:rsid w:val="00932C7A"/>
    <w:rsid w:val="009547C4"/>
    <w:rsid w:val="009601EF"/>
    <w:rsid w:val="009B3CBD"/>
    <w:rsid w:val="00A33D76"/>
    <w:rsid w:val="00AE05A2"/>
    <w:rsid w:val="00B64564"/>
    <w:rsid w:val="00BA3643"/>
    <w:rsid w:val="00CD1420"/>
    <w:rsid w:val="00D151A8"/>
    <w:rsid w:val="00D24C31"/>
    <w:rsid w:val="00E82E1C"/>
    <w:rsid w:val="00EB7C10"/>
    <w:rsid w:val="00F31A31"/>
    <w:rsid w:val="00F6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D3B96"/>
  <w15:chartTrackingRefBased/>
  <w15:docId w15:val="{C753F768-0BDA-4FC7-A4EE-55F21DBF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45C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62595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62595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62595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762595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unhideWhenUsed/>
    <w:rsid w:val="00762595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762595"/>
  </w:style>
  <w:style w:type="character" w:customStyle="1" w:styleId="SalutationChar">
    <w:name w:val="Salutation Char"/>
    <w:basedOn w:val="DefaultParagraphFont"/>
    <w:link w:val="Salutation"/>
    <w:semiHidden/>
    <w:rsid w:val="0076259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rc.org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enquiries@sserc.org.uk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sserc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\OneDrive%20-%20SSERC%20Ltd\Chemistry\Risk%20Assessments\01%20Risk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3CAADFCC-8388-449A-BE0C-E4F762EF34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1E7BEA-531F-47B6-BFE0-220483C24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67D655-D614-4D21-B44B-8020D904E2D1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Risk Assessment Template.dotx</Template>
  <TotalTime>39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 Lloyd</cp:lastModifiedBy>
  <cp:revision>12</cp:revision>
  <dcterms:created xsi:type="dcterms:W3CDTF">2021-12-07T23:01:00Z</dcterms:created>
  <dcterms:modified xsi:type="dcterms:W3CDTF">2022-11-18T11:08:00Z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