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7383" w14:textId="729941C0" w:rsidR="009F76EE" w:rsidRPr="009F76EE" w:rsidRDefault="007C044B" w:rsidP="009F76EE">
      <w:r>
        <w:rPr>
          <w:noProof/>
        </w:rPr>
        <w:drawing>
          <wp:anchor distT="0" distB="0" distL="114300" distR="114300" simplePos="0" relativeHeight="251659264" behindDoc="0" locked="0" layoutInCell="1" allowOverlap="1" wp14:anchorId="28640E0F" wp14:editId="37E10A80">
            <wp:simplePos x="0" y="0"/>
            <wp:positionH relativeFrom="column">
              <wp:posOffset>-518160</wp:posOffset>
            </wp:positionH>
            <wp:positionV relativeFrom="paragraph">
              <wp:posOffset>-429260</wp:posOffset>
            </wp:positionV>
            <wp:extent cx="1442085" cy="571500"/>
            <wp:effectExtent l="0" t="0" r="0" b="0"/>
            <wp:wrapSquare wrapText="bothSides"/>
            <wp:docPr id="3" name="Picture 3" descr="A picture containing text, room, vector graphics, gambling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room, vector graphics, gambling hou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07384" w14:textId="6916FEE9" w:rsidR="009F76EE" w:rsidRPr="009F76EE" w:rsidRDefault="009F76EE" w:rsidP="009F76EE"/>
    <w:tbl>
      <w:tblPr>
        <w:tblpPr w:leftFromText="187" w:rightFromText="187" w:vertAnchor="page" w:horzAnchor="page" w:tblpX="5361" w:tblpY="4441"/>
        <w:tblW w:w="310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744"/>
      </w:tblGrid>
      <w:tr w:rsidR="009F76EE" w:rsidRPr="009F76EE" w14:paraId="62607386" w14:textId="77777777" w:rsidTr="00D37A63">
        <w:tc>
          <w:tcPr>
            <w:tcW w:w="0" w:type="auto"/>
          </w:tcPr>
          <w:p w14:paraId="62607385" w14:textId="77777777" w:rsidR="009F76EE" w:rsidRPr="009F76EE" w:rsidRDefault="009F76EE" w:rsidP="009F76EE">
            <w:pPr>
              <w:rPr>
                <w:sz w:val="80"/>
                <w:szCs w:val="80"/>
              </w:rPr>
            </w:pPr>
            <w:r w:rsidRPr="009F76EE">
              <w:rPr>
                <w:sz w:val="80"/>
                <w:szCs w:val="80"/>
              </w:rPr>
              <w:t>Chemical Demonstrations</w:t>
            </w:r>
          </w:p>
        </w:tc>
      </w:tr>
      <w:tr w:rsidR="009F76EE" w:rsidRPr="009F76EE" w14:paraId="62607388" w14:textId="77777777" w:rsidTr="00D37A63">
        <w:trPr>
          <w:trHeight w:val="604"/>
        </w:trPr>
        <w:tc>
          <w:tcPr>
            <w:tcW w:w="0" w:type="auto"/>
          </w:tcPr>
          <w:p w14:paraId="62607387" w14:textId="5749D42D" w:rsidR="009F76EE" w:rsidRPr="009F76EE" w:rsidRDefault="003C4BF0" w:rsidP="009F76E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Diffusion of </w:t>
            </w:r>
            <w:r w:rsidR="00051DBD">
              <w:rPr>
                <w:sz w:val="44"/>
                <w:szCs w:val="44"/>
              </w:rPr>
              <w:t xml:space="preserve">Liquids and </w:t>
            </w:r>
            <w:r>
              <w:rPr>
                <w:sz w:val="44"/>
                <w:szCs w:val="44"/>
              </w:rPr>
              <w:t>Gases</w:t>
            </w:r>
          </w:p>
        </w:tc>
      </w:tr>
    </w:tbl>
    <w:p w14:paraId="62607389" w14:textId="068F34AA" w:rsidR="009F76EE" w:rsidRPr="009F76EE" w:rsidRDefault="0027132C" w:rsidP="009F76EE">
      <w:r w:rsidRPr="0027132C">
        <w:drawing>
          <wp:anchor distT="0" distB="0" distL="114300" distR="114300" simplePos="0" relativeHeight="251664384" behindDoc="0" locked="0" layoutInCell="1" allowOverlap="1" wp14:anchorId="1AFED96B" wp14:editId="2C29183C">
            <wp:simplePos x="0" y="0"/>
            <wp:positionH relativeFrom="column">
              <wp:posOffset>-23743</wp:posOffset>
            </wp:positionH>
            <wp:positionV relativeFrom="paragraph">
              <wp:posOffset>1656411</wp:posOffset>
            </wp:positionV>
            <wp:extent cx="1469469" cy="3108960"/>
            <wp:effectExtent l="0" t="0" r="0" b="0"/>
            <wp:wrapSquare wrapText="bothSides"/>
            <wp:docPr id="1975487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8764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469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768">
        <w:pict w14:anchorId="626073B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.25pt;margin-top:533.25pt;width:352.2pt;height:258.45pt;z-index:-251656192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14:paraId="626073C8" w14:textId="77777777" w:rsidR="009F76EE" w:rsidRPr="00EA4D26" w:rsidRDefault="009F76EE" w:rsidP="009F76EE">
                  <w:pPr>
                    <w:rPr>
                      <w:sz w:val="28"/>
                      <w:szCs w:val="28"/>
                    </w:rPr>
                  </w:pPr>
                  <w:r w:rsidRPr="00EA4D26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14:paraId="64C32758" w14:textId="77777777" w:rsidR="00EA4D26" w:rsidRDefault="00EA4D26" w:rsidP="00EA4D26">
                  <w:pPr>
                    <w:rPr>
                      <w:i/>
                      <w:sz w:val="28"/>
                      <w:szCs w:val="28"/>
                    </w:rPr>
                  </w:pPr>
                  <w:r w:rsidRPr="00EA4D26">
                    <w:rPr>
                      <w:i/>
                      <w:sz w:val="28"/>
                      <w:szCs w:val="28"/>
                    </w:rPr>
                    <w:t>By contributing to experiments and investigations, I can develop my understanding of models of matter and can apply this to changes of state and the energy involved as they occur in nature.</w:t>
                  </w:r>
                </w:p>
                <w:p w14:paraId="626073CA" w14:textId="5EA7C1D0" w:rsidR="009F76EE" w:rsidRPr="00EA4D26" w:rsidRDefault="009F76EE" w:rsidP="009F76EE">
                  <w:pPr>
                    <w:jc w:val="right"/>
                    <w:rPr>
                      <w:sz w:val="28"/>
                      <w:szCs w:val="28"/>
                    </w:rPr>
                  </w:pPr>
                  <w:r w:rsidRPr="00EA4D26">
                    <w:rPr>
                      <w:sz w:val="28"/>
                      <w:szCs w:val="28"/>
                    </w:rPr>
                    <w:t>SCN 3-</w:t>
                  </w:r>
                  <w:r w:rsidR="00B32645" w:rsidRPr="00EA4D26">
                    <w:rPr>
                      <w:sz w:val="28"/>
                      <w:szCs w:val="28"/>
                    </w:rPr>
                    <w:t>05</w:t>
                  </w:r>
                  <w:r w:rsidRPr="00EA4D26">
                    <w:rPr>
                      <w:sz w:val="28"/>
                      <w:szCs w:val="28"/>
                    </w:rPr>
                    <w:t>a</w:t>
                  </w:r>
                </w:p>
                <w:p w14:paraId="626073CB" w14:textId="4FD8B8D1" w:rsidR="009F76EE" w:rsidRPr="00EA4D26" w:rsidRDefault="009F76EE" w:rsidP="009F76EE">
                  <w:pPr>
                    <w:rPr>
                      <w:sz w:val="28"/>
                      <w:szCs w:val="28"/>
                    </w:rPr>
                  </w:pPr>
                  <w:r w:rsidRPr="00EA4D26">
                    <w:rPr>
                      <w:sz w:val="28"/>
                      <w:szCs w:val="28"/>
                    </w:rPr>
                    <w:t xml:space="preserve"> </w:t>
                  </w:r>
                </w:p>
                <w:p w14:paraId="626073CD" w14:textId="2CA20323" w:rsidR="009F76EE" w:rsidRDefault="00591D9A" w:rsidP="00300510">
                  <w:pPr>
                    <w:rPr>
                      <w:i/>
                      <w:sz w:val="28"/>
                      <w:szCs w:val="28"/>
                    </w:rPr>
                  </w:pPr>
                  <w:r w:rsidRPr="00591D9A">
                    <w:rPr>
                      <w:i/>
                      <w:sz w:val="28"/>
                      <w:szCs w:val="28"/>
                    </w:rPr>
                    <w:t>I have developed my understanding of the kinetic model of a gas. I can describe the qualitative relationships between pressure, volume and temperature of gases.</w:t>
                  </w:r>
                </w:p>
                <w:p w14:paraId="5D2D59D2" w14:textId="733405C6" w:rsidR="00051DBD" w:rsidRPr="00EA4D26" w:rsidRDefault="00051DBD" w:rsidP="00051DBD">
                  <w:pPr>
                    <w:jc w:val="right"/>
                    <w:rPr>
                      <w:sz w:val="28"/>
                      <w:szCs w:val="28"/>
                    </w:rPr>
                  </w:pPr>
                  <w:r w:rsidRPr="00EA4D26">
                    <w:rPr>
                      <w:sz w:val="28"/>
                      <w:szCs w:val="28"/>
                    </w:rPr>
                    <w:t xml:space="preserve">SCN 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EA4D26">
                    <w:rPr>
                      <w:sz w:val="28"/>
                      <w:szCs w:val="28"/>
                    </w:rPr>
                    <w:t>-05a</w:t>
                  </w:r>
                </w:p>
                <w:p w14:paraId="7E6754CE" w14:textId="77777777" w:rsidR="00051DBD" w:rsidRDefault="00051DBD" w:rsidP="0030051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 anchory="page"/>
          </v:shape>
        </w:pict>
      </w:r>
      <w:r w:rsidR="009F76EE" w:rsidRPr="009F76EE">
        <w:br w:type="page"/>
      </w:r>
    </w:p>
    <w:p w14:paraId="6260738A" w14:textId="77777777" w:rsidR="00787ECE" w:rsidRPr="00787ECE" w:rsidRDefault="00265B2A" w:rsidP="00DA10F8">
      <w:pPr>
        <w:pStyle w:val="Heading2"/>
      </w:pPr>
      <w:r>
        <w:lastRenderedPageBreak/>
        <w:t>I</w:t>
      </w:r>
      <w:r w:rsidR="008A56F6">
        <w:t>ntroduction</w:t>
      </w:r>
    </w:p>
    <w:p w14:paraId="09E842D0" w14:textId="730B9984" w:rsidR="00C7744B" w:rsidRDefault="00C7744B" w:rsidP="00C7744B">
      <w:r w:rsidRPr="00C7744B">
        <w:t xml:space="preserve">Diffusion is the movement of </w:t>
      </w:r>
      <w:proofErr w:type="gramStart"/>
      <w:r>
        <w:t>particles</w:t>
      </w:r>
      <w:proofErr w:type="gramEnd"/>
      <w:r>
        <w:t xml:space="preserve"> </w:t>
      </w:r>
      <w:r w:rsidRPr="00C7744B">
        <w:t>a substance from an area of high concentration to an area of lower concentration.</w:t>
      </w:r>
      <w:r>
        <w:t xml:space="preserve"> It</w:t>
      </w:r>
      <w:r w:rsidRPr="00C7744B">
        <w:t xml:space="preserve"> occurs in liquids and gases when the</w:t>
      </w:r>
      <w:r>
        <w:t>se</w:t>
      </w:r>
      <w:r w:rsidRPr="00C7744B">
        <w:t> particles collide randomly and spread out.</w:t>
      </w:r>
    </w:p>
    <w:p w14:paraId="68FA2A1F" w14:textId="0F366FCE" w:rsidR="00254E2A" w:rsidRDefault="00254E2A" w:rsidP="00C7744B">
      <w:r>
        <w:t xml:space="preserve">It is not the easiest phenomenon to demonstrate in the laboratory. Diffusion in liquids is very slow and while it is faster in </w:t>
      </w:r>
      <w:r w:rsidR="008E5CAA">
        <w:t>gases, most gases are colourless. And the only gases coloured enough to make the experiment viable have significant health and safety risks.</w:t>
      </w:r>
    </w:p>
    <w:p w14:paraId="5C89748F" w14:textId="4599E14F" w:rsidR="008E5CAA" w:rsidRPr="00C7744B" w:rsidRDefault="008E5CAA" w:rsidP="008E5CAA">
      <w:r>
        <w:t>The two alternatives are:</w:t>
      </w:r>
    </w:p>
    <w:p w14:paraId="1B562262" w14:textId="390837DB" w:rsidR="00AD2BF2" w:rsidRPr="001573DC" w:rsidRDefault="00AD2BF2" w:rsidP="008E5CAA">
      <w:pPr>
        <w:pStyle w:val="ListParagraph"/>
        <w:numPr>
          <w:ilvl w:val="0"/>
          <w:numId w:val="5"/>
        </w:numPr>
      </w:pPr>
      <w:r w:rsidRPr="001573DC">
        <w:t>Bromine</w:t>
      </w:r>
      <w:r w:rsidR="008E5CAA">
        <w:t>, which</w:t>
      </w:r>
      <w:r w:rsidRPr="008E5CAA">
        <w:rPr>
          <w:b/>
          <w:bCs/>
        </w:rPr>
        <w:t xml:space="preserve"> </w:t>
      </w:r>
      <w:r w:rsidRPr="001573DC">
        <w:t xml:space="preserve">has </w:t>
      </w:r>
      <w:r>
        <w:t>been responsible for</w:t>
      </w:r>
      <w:r w:rsidRPr="001573DC">
        <w:t xml:space="preserve"> </w:t>
      </w:r>
      <w:proofErr w:type="gramStart"/>
      <w:r w:rsidRPr="001573DC">
        <w:t>a number of</w:t>
      </w:r>
      <w:proofErr w:type="gramEnd"/>
      <w:r>
        <w:t xml:space="preserve"> </w:t>
      </w:r>
      <w:r w:rsidRPr="001573DC">
        <w:t xml:space="preserve">accidents to both teachers and technicians, </w:t>
      </w:r>
      <w:r>
        <w:t>due to its corrosive and toxic fumes.</w:t>
      </w:r>
      <w:r w:rsidR="008E5CAA">
        <w:t xml:space="preserve"> </w:t>
      </w:r>
      <w:r>
        <w:t xml:space="preserve">It should </w:t>
      </w:r>
      <w:r w:rsidRPr="008E5CAA">
        <w:rPr>
          <w:b/>
          <w:bCs/>
        </w:rPr>
        <w:t>only</w:t>
      </w:r>
      <w:r>
        <w:t xml:space="preserve"> be used by an experienced chemist.</w:t>
      </w:r>
      <w:r w:rsidR="008E5CAA">
        <w:t xml:space="preserve"> And</w:t>
      </w:r>
    </w:p>
    <w:p w14:paraId="5271D5A7" w14:textId="2A7A9251" w:rsidR="00AD2BF2" w:rsidRDefault="00AD2BF2" w:rsidP="008E5CAA">
      <w:pPr>
        <w:pStyle w:val="ListParagraph"/>
        <w:numPr>
          <w:ilvl w:val="0"/>
          <w:numId w:val="5"/>
        </w:numPr>
      </w:pPr>
      <w:r w:rsidRPr="001573DC">
        <w:t>Nitrogen dioxide</w:t>
      </w:r>
      <w:r w:rsidR="008E5CAA">
        <w:t>, which</w:t>
      </w:r>
      <w:r w:rsidRPr="008E5CAA">
        <w:rPr>
          <w:b/>
          <w:bCs/>
        </w:rPr>
        <w:t xml:space="preserve"> </w:t>
      </w:r>
      <w:r w:rsidRPr="001573DC">
        <w:t xml:space="preserve">is a </w:t>
      </w:r>
      <w:r w:rsidRPr="008E5CAA">
        <w:rPr>
          <w:b/>
          <w:bCs/>
        </w:rPr>
        <w:t>slightly</w:t>
      </w:r>
      <w:r>
        <w:t xml:space="preserve"> safer alternative</w:t>
      </w:r>
      <w:r w:rsidRPr="001573DC">
        <w:t xml:space="preserve">. </w:t>
      </w:r>
      <w:r>
        <w:t>Although exposure to the fumes can also cause significant health effects often delated for several days.</w:t>
      </w:r>
    </w:p>
    <w:p w14:paraId="741E4F84" w14:textId="77777777" w:rsidR="00AD2BF2" w:rsidRDefault="00AD2BF2" w:rsidP="00AD2BF2">
      <w:r>
        <w:t xml:space="preserve">This is the ‘traditional’ method using nitrogen dioxide. </w:t>
      </w:r>
    </w:p>
    <w:p w14:paraId="3D781D2A" w14:textId="3B720388" w:rsidR="004E5539" w:rsidRDefault="004E5539" w:rsidP="00AD2BF2">
      <w:r>
        <w:t xml:space="preserve">A safer alternative is </w:t>
      </w:r>
      <w:r w:rsidR="00053134">
        <w:t>a microscale version that can be carried out by learners.</w:t>
      </w:r>
    </w:p>
    <w:p w14:paraId="035BE968" w14:textId="45698C6D" w:rsidR="00963D35" w:rsidRDefault="00963D35" w:rsidP="00DA10F8">
      <w:pPr>
        <w:pStyle w:val="Heading2"/>
      </w:pPr>
      <w:r>
        <w:t>Diffusion in liquids</w:t>
      </w:r>
    </w:p>
    <w:p w14:paraId="274ED77E" w14:textId="11825E52" w:rsidR="00963D35" w:rsidRDefault="003F655C" w:rsidP="00787ECE">
      <w:r>
        <w:t xml:space="preserve">This can be shown </w:t>
      </w:r>
      <w:r w:rsidR="005954B5">
        <w:t xml:space="preserve">simply by adding a crystal of a coloured, soluble solid to a </w:t>
      </w:r>
      <w:proofErr w:type="gramStart"/>
      <w:r w:rsidR="005954B5">
        <w:t>beaker</w:t>
      </w:r>
      <w:proofErr w:type="gramEnd"/>
      <w:r w:rsidR="005954B5">
        <w:t xml:space="preserve"> of water. Potassium manganate VII </w:t>
      </w:r>
      <w:r w:rsidR="00A62F6B">
        <w:t xml:space="preserve">is a good choice as it </w:t>
      </w:r>
      <w:proofErr w:type="gramStart"/>
      <w:r w:rsidR="008F0D38">
        <w:t>has</w:t>
      </w:r>
      <w:proofErr w:type="gramEnd"/>
      <w:r w:rsidR="008F0D38">
        <w:t xml:space="preserve"> a</w:t>
      </w:r>
      <w:r w:rsidR="00A62F6B">
        <w:t>n</w:t>
      </w:r>
      <w:r w:rsidR="008F0D38">
        <w:t xml:space="preserve"> intense </w:t>
      </w:r>
      <w:proofErr w:type="gramStart"/>
      <w:r w:rsidR="008F0D38">
        <w:t>colour</w:t>
      </w:r>
      <w:proofErr w:type="gramEnd"/>
      <w:r w:rsidR="008F0D38">
        <w:t xml:space="preserve"> but it generally comes as a powder and so the staining can partially obscure the effect.</w:t>
      </w:r>
      <w:r w:rsidR="00A62F6B">
        <w:t xml:space="preserve"> Chromium potassium sulphate is a very dark purple and comes in larger </w:t>
      </w:r>
      <w:r w:rsidR="00FB1248">
        <w:t>pieces, as does copper sulphate. Though these two are both slower to show the effect.</w:t>
      </w:r>
    </w:p>
    <w:p w14:paraId="4CB926A4" w14:textId="77777777" w:rsidR="008F0D38" w:rsidRPr="00DA10F8" w:rsidRDefault="008F0D38" w:rsidP="00DA10F8">
      <w:pPr>
        <w:pStyle w:val="Heading3"/>
      </w:pPr>
      <w:r w:rsidRPr="00DA10F8"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F0D38" w14:paraId="76DDF793" w14:textId="77777777" w:rsidTr="00615649">
        <w:tc>
          <w:tcPr>
            <w:tcW w:w="4621" w:type="dxa"/>
          </w:tcPr>
          <w:p w14:paraId="760C4754" w14:textId="13A72CA5" w:rsidR="008F0D38" w:rsidRDefault="008F0D38" w:rsidP="00615649">
            <w:pPr>
              <w:rPr>
                <w:szCs w:val="24"/>
              </w:rPr>
            </w:pPr>
            <w:r>
              <w:rPr>
                <w:szCs w:val="24"/>
              </w:rPr>
              <w:t>Beaker</w:t>
            </w:r>
          </w:p>
        </w:tc>
        <w:tc>
          <w:tcPr>
            <w:tcW w:w="4621" w:type="dxa"/>
          </w:tcPr>
          <w:p w14:paraId="501954FB" w14:textId="446DD494" w:rsidR="008F0D38" w:rsidRDefault="008F0D38" w:rsidP="00615649">
            <w:pPr>
              <w:rPr>
                <w:szCs w:val="24"/>
              </w:rPr>
            </w:pPr>
            <w:r>
              <w:rPr>
                <w:szCs w:val="24"/>
              </w:rPr>
              <w:t>Water</w:t>
            </w:r>
          </w:p>
        </w:tc>
      </w:tr>
      <w:tr w:rsidR="008F0D38" w14:paraId="2ADB6964" w14:textId="77777777" w:rsidTr="00615649">
        <w:tc>
          <w:tcPr>
            <w:tcW w:w="4621" w:type="dxa"/>
          </w:tcPr>
          <w:p w14:paraId="3C6FACCD" w14:textId="5F2721B9" w:rsidR="008F0D38" w:rsidRDefault="008F0D38" w:rsidP="00615649">
            <w:pPr>
              <w:rPr>
                <w:szCs w:val="24"/>
              </w:rPr>
            </w:pPr>
            <w:r>
              <w:rPr>
                <w:szCs w:val="24"/>
              </w:rPr>
              <w:t>Crystal of a soluble solid</w:t>
            </w:r>
          </w:p>
        </w:tc>
        <w:tc>
          <w:tcPr>
            <w:tcW w:w="4621" w:type="dxa"/>
          </w:tcPr>
          <w:p w14:paraId="23450B9E" w14:textId="3A8BFC06" w:rsidR="008F0D38" w:rsidRDefault="008F0D38" w:rsidP="00615649">
            <w:pPr>
              <w:rPr>
                <w:szCs w:val="24"/>
              </w:rPr>
            </w:pPr>
          </w:p>
        </w:tc>
      </w:tr>
    </w:tbl>
    <w:p w14:paraId="3C7987C0" w14:textId="77777777" w:rsidR="008F0D38" w:rsidRDefault="008F0D38" w:rsidP="00787ECE"/>
    <w:p w14:paraId="16370D8E" w14:textId="77777777" w:rsidR="008F0D38" w:rsidRPr="00787ECE" w:rsidRDefault="008F0D38" w:rsidP="00DA10F8">
      <w:pPr>
        <w:pStyle w:val="Heading3"/>
      </w:pPr>
      <w:r>
        <w:t>To Do</w:t>
      </w:r>
    </w:p>
    <w:p w14:paraId="18B788A4" w14:textId="2DB303D8" w:rsidR="00BB125D" w:rsidRDefault="008F0D38" w:rsidP="00BB125D">
      <w:pPr>
        <w:pStyle w:val="ListParagraph"/>
        <w:numPr>
          <w:ilvl w:val="0"/>
          <w:numId w:val="3"/>
        </w:numPr>
        <w:ind w:left="425" w:hanging="357"/>
        <w:contextualSpacing w:val="0"/>
      </w:pPr>
      <w:r>
        <w:t xml:space="preserve">Fill your beaker with water </w:t>
      </w:r>
      <w:r w:rsidR="00BB125D">
        <w:t>and leave for a minute or two so any swirling currents have died down and the liquid is entirely still.</w:t>
      </w:r>
      <w:r w:rsidR="008B4242" w:rsidRPr="008B4242">
        <w:rPr>
          <w:noProof/>
        </w:rPr>
        <w:t xml:space="preserve"> </w:t>
      </w:r>
    </w:p>
    <w:p w14:paraId="755365F4" w14:textId="099EC9CA" w:rsidR="00BB125D" w:rsidRDefault="00BB125D" w:rsidP="00BB125D">
      <w:pPr>
        <w:pStyle w:val="ListParagraph"/>
        <w:numPr>
          <w:ilvl w:val="0"/>
          <w:numId w:val="3"/>
        </w:numPr>
        <w:ind w:left="425" w:hanging="357"/>
        <w:contextualSpacing w:val="0"/>
      </w:pPr>
      <w:r>
        <w:t>Place your crystal as carefully as possible in the bottom of the beaker.</w:t>
      </w:r>
    </w:p>
    <w:p w14:paraId="590FBBB4" w14:textId="526AF594" w:rsidR="008F0D38" w:rsidRPr="008A56F6" w:rsidRDefault="00BB125D" w:rsidP="00BB125D">
      <w:pPr>
        <w:pStyle w:val="ListParagraph"/>
        <w:numPr>
          <w:ilvl w:val="0"/>
          <w:numId w:val="3"/>
        </w:numPr>
        <w:ind w:left="425" w:hanging="357"/>
        <w:contextualSpacing w:val="0"/>
      </w:pPr>
      <w:r>
        <w:t>Wait and see what happens</w:t>
      </w:r>
      <w:r w:rsidR="008F0D38" w:rsidRPr="008A56F6">
        <w:t xml:space="preserve">. </w:t>
      </w:r>
    </w:p>
    <w:p w14:paraId="3E8F3027" w14:textId="6E51C17F" w:rsidR="008F0D38" w:rsidRDefault="00DA10F8" w:rsidP="00787ECE">
      <w:r w:rsidRPr="00DA10F8">
        <w:drawing>
          <wp:anchor distT="0" distB="0" distL="114300" distR="114300" simplePos="0" relativeHeight="251662336" behindDoc="0" locked="0" layoutInCell="1" allowOverlap="1" wp14:anchorId="36C4119E" wp14:editId="4B9A2AFF">
            <wp:simplePos x="0" y="0"/>
            <wp:positionH relativeFrom="column">
              <wp:posOffset>2593975</wp:posOffset>
            </wp:positionH>
            <wp:positionV relativeFrom="paragraph">
              <wp:posOffset>65405</wp:posOffset>
            </wp:positionV>
            <wp:extent cx="1783715" cy="1923415"/>
            <wp:effectExtent l="0" t="0" r="0" b="0"/>
            <wp:wrapSquare wrapText="bothSides"/>
            <wp:docPr id="33943891" name="Picture 1" descr="A purple liquid in a b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3891" name="Picture 1" descr="A purple liquid in a beak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242">
        <w:drawing>
          <wp:anchor distT="0" distB="0" distL="114300" distR="114300" simplePos="0" relativeHeight="251658240" behindDoc="0" locked="0" layoutInCell="1" allowOverlap="1" wp14:anchorId="66E3B2B8" wp14:editId="1049FE5E">
            <wp:simplePos x="0" y="0"/>
            <wp:positionH relativeFrom="column">
              <wp:posOffset>608109</wp:posOffset>
            </wp:positionH>
            <wp:positionV relativeFrom="paragraph">
              <wp:posOffset>96685</wp:posOffset>
            </wp:positionV>
            <wp:extent cx="1806575" cy="1854200"/>
            <wp:effectExtent l="0" t="0" r="0" b="0"/>
            <wp:wrapSquare wrapText="bothSides"/>
            <wp:docPr id="1531632438" name="Picture 1" descr="A beaker with a purple diamo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632438" name="Picture 1" descr="A beaker with a purple diamo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301CA" w14:textId="314CE74A" w:rsidR="00DA10F8" w:rsidRDefault="00DA10F8" w:rsidP="00787ECE"/>
    <w:p w14:paraId="77D3CB0C" w14:textId="0F49B6FC" w:rsidR="00DA10F8" w:rsidRDefault="00DA10F8" w:rsidP="00787ECE"/>
    <w:p w14:paraId="7C66CBAC" w14:textId="77777777" w:rsidR="00DA10F8" w:rsidRDefault="00DA10F8" w:rsidP="00787ECE"/>
    <w:p w14:paraId="40A57221" w14:textId="1CB303BF" w:rsidR="00DA10F8" w:rsidRDefault="00DA10F8" w:rsidP="00787ECE"/>
    <w:p w14:paraId="0C3FDBE3" w14:textId="77777777" w:rsidR="00DA10F8" w:rsidRDefault="00DA10F8" w:rsidP="00787ECE"/>
    <w:p w14:paraId="11874457" w14:textId="77777777" w:rsidR="00DA10F8" w:rsidRPr="003F655C" w:rsidRDefault="00DA10F8" w:rsidP="00787ECE"/>
    <w:p w14:paraId="539FA8EF" w14:textId="4928E3D7" w:rsidR="00DA10F8" w:rsidRDefault="00DA10F8" w:rsidP="00DA10F8">
      <w:pPr>
        <w:pStyle w:val="Heading2"/>
      </w:pPr>
      <w:r>
        <w:lastRenderedPageBreak/>
        <w:t>Diffusion in gases</w:t>
      </w:r>
    </w:p>
    <w:p w14:paraId="6260738C" w14:textId="1EFFBA6D" w:rsidR="00787ECE" w:rsidRDefault="008A56F6" w:rsidP="00DA10F8">
      <w:pPr>
        <w:pStyle w:val="Heading3"/>
      </w:pPr>
      <w: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3C26" w14:paraId="22A9E990" w14:textId="77777777" w:rsidTr="00615649">
        <w:tc>
          <w:tcPr>
            <w:tcW w:w="4508" w:type="dxa"/>
          </w:tcPr>
          <w:p w14:paraId="33488C9D" w14:textId="77777777" w:rsidR="00463C26" w:rsidRDefault="00463C26" w:rsidP="00615649">
            <w:r>
              <w:t>Copper turning or foil</w:t>
            </w:r>
          </w:p>
        </w:tc>
        <w:tc>
          <w:tcPr>
            <w:tcW w:w="4508" w:type="dxa"/>
          </w:tcPr>
          <w:p w14:paraId="01472D85" w14:textId="77777777" w:rsidR="00463C26" w:rsidRDefault="00463C26" w:rsidP="00615649">
            <w:r>
              <w:t>Concentrated nitric acid</w:t>
            </w:r>
          </w:p>
        </w:tc>
      </w:tr>
      <w:tr w:rsidR="00463C26" w14:paraId="13E7E731" w14:textId="77777777" w:rsidTr="00615649">
        <w:tc>
          <w:tcPr>
            <w:tcW w:w="4508" w:type="dxa"/>
          </w:tcPr>
          <w:p w14:paraId="6B71ED29" w14:textId="77777777" w:rsidR="00463C26" w:rsidRDefault="00463C26" w:rsidP="00615649">
            <w:r>
              <w:t>2 gas jars and lids</w:t>
            </w:r>
          </w:p>
        </w:tc>
        <w:tc>
          <w:tcPr>
            <w:tcW w:w="4508" w:type="dxa"/>
          </w:tcPr>
          <w:p w14:paraId="0CA43DEA" w14:textId="5B9E1C64" w:rsidR="00463C26" w:rsidRDefault="0033088E" w:rsidP="00615649">
            <w:r>
              <w:t>Small measuring cylinder or Pasteur popette to dispense the nitric acid.</w:t>
            </w:r>
          </w:p>
        </w:tc>
      </w:tr>
    </w:tbl>
    <w:p w14:paraId="62607393" w14:textId="77777777" w:rsidR="008A56F6" w:rsidRDefault="008A56F6" w:rsidP="00787ECE"/>
    <w:p w14:paraId="62607394" w14:textId="77777777" w:rsidR="00265B2A" w:rsidRDefault="00265B2A" w:rsidP="00DA10F8">
      <w:pPr>
        <w:pStyle w:val="Heading3"/>
      </w:pPr>
      <w:r>
        <w:t>Preparation</w:t>
      </w:r>
    </w:p>
    <w:p w14:paraId="2555EBFF" w14:textId="77777777" w:rsidR="007F074A" w:rsidRDefault="007F074A" w:rsidP="007F074A">
      <w:r>
        <w:t xml:space="preserve">Determine the volume of the gas jar to establish the amount of gas you are going to generate. </w:t>
      </w:r>
    </w:p>
    <w:p w14:paraId="6C4B5B8B" w14:textId="77777777" w:rsidR="007F074A" w:rsidRDefault="007F074A" w:rsidP="00E62768">
      <w:pPr>
        <w:pStyle w:val="ListParagraph"/>
        <w:numPr>
          <w:ilvl w:val="0"/>
          <w:numId w:val="7"/>
        </w:numPr>
        <w:ind w:left="714" w:hanging="357"/>
        <w:contextualSpacing w:val="0"/>
      </w:pPr>
      <w:r>
        <w:t>We are adding concentrated nitric acid to excess copper turnings and so the volume of NO</w:t>
      </w:r>
      <w:r w:rsidRPr="007F074A">
        <w:rPr>
          <w:vertAlign w:val="subscript"/>
        </w:rPr>
        <w:t>2</w:t>
      </w:r>
      <w:r>
        <w:t xml:space="preserve"> is determined by the volume </w:t>
      </w:r>
      <w:proofErr w:type="gramStart"/>
      <w:r>
        <w:t>off</w:t>
      </w:r>
      <w:proofErr w:type="gramEnd"/>
      <w:r>
        <w:t xml:space="preserve"> acid you add.</w:t>
      </w:r>
    </w:p>
    <w:p w14:paraId="2203CF65" w14:textId="4BB5A4F3" w:rsidR="007F074A" w:rsidRDefault="007F074A" w:rsidP="00E62768">
      <w:pPr>
        <w:pStyle w:val="ListParagraph"/>
        <w:numPr>
          <w:ilvl w:val="0"/>
          <w:numId w:val="7"/>
        </w:numPr>
        <w:ind w:left="714" w:hanging="357"/>
        <w:contextualSpacing w:val="0"/>
      </w:pPr>
      <w:r>
        <w:t xml:space="preserve">8 </w:t>
      </w:r>
      <w:r w:rsidRPr="00753C84">
        <w:t>cm</w:t>
      </w:r>
      <w:r w:rsidRPr="007F074A">
        <w:rPr>
          <w:vertAlign w:val="superscript"/>
        </w:rPr>
        <w:t>3</w:t>
      </w:r>
      <w:r>
        <w:t xml:space="preserve"> of HNO</w:t>
      </w:r>
      <w:r w:rsidRPr="007F074A">
        <w:rPr>
          <w:vertAlign w:val="subscript"/>
        </w:rPr>
        <w:t>3</w:t>
      </w:r>
      <w:r>
        <w:t xml:space="preserve"> produces 1,000 </w:t>
      </w:r>
      <w:r w:rsidRPr="00753C84">
        <w:t>cm</w:t>
      </w:r>
      <w:r w:rsidRPr="00753C84">
        <w:rPr>
          <w:vertAlign w:val="superscript"/>
        </w:rPr>
        <w:t>3</w:t>
      </w:r>
      <w:r>
        <w:t xml:space="preserve"> </w:t>
      </w:r>
      <w:r>
        <w:t>of NO</w:t>
      </w:r>
      <w:r w:rsidRPr="007F074A">
        <w:rPr>
          <w:vertAlign w:val="subscript"/>
        </w:rPr>
        <w:t>2</w:t>
      </w:r>
      <w:r>
        <w:t xml:space="preserve">.  </w:t>
      </w:r>
      <w:proofErr w:type="gramStart"/>
      <w:r>
        <w:t>So</w:t>
      </w:r>
      <w:proofErr w:type="gramEnd"/>
      <w:r>
        <w:t xml:space="preserve"> scale that down for your particular gas jar.</w:t>
      </w:r>
    </w:p>
    <w:p w14:paraId="0F00630D" w14:textId="4D809DA9" w:rsidR="007F074A" w:rsidRDefault="007F074A" w:rsidP="007F074A">
      <w:r>
        <w:t>Wear eye protection (BS EN166 3) and gloves</w:t>
      </w:r>
      <w:r>
        <w:t xml:space="preserve"> and c</w:t>
      </w:r>
      <w:r>
        <w:t>arry out this stage in a fume cupboard.</w:t>
      </w:r>
    </w:p>
    <w:p w14:paraId="1CE49F26" w14:textId="778B3ABD" w:rsidR="007F074A" w:rsidRPr="001573DC" w:rsidRDefault="007F074A" w:rsidP="007F074A">
      <w:pPr>
        <w:pStyle w:val="ListParagraph"/>
        <w:numPr>
          <w:ilvl w:val="0"/>
          <w:numId w:val="8"/>
        </w:numPr>
        <w:ind w:hanging="357"/>
        <w:contextualSpacing w:val="0"/>
      </w:pPr>
      <w:r w:rsidRPr="001573DC">
        <w:t xml:space="preserve">Place </w:t>
      </w:r>
      <w:r>
        <w:t>between</w:t>
      </w:r>
      <w:r w:rsidRPr="001573DC">
        <w:t xml:space="preserve"> 1</w:t>
      </w:r>
      <w:r>
        <w:t xml:space="preserve"> and 2</w:t>
      </w:r>
      <w:r w:rsidRPr="001573DC">
        <w:t xml:space="preserve"> g</w:t>
      </w:r>
      <w:r>
        <w:t xml:space="preserve"> (max) </w:t>
      </w:r>
      <w:r w:rsidRPr="001573DC">
        <w:t xml:space="preserve">of copper turnings in the gas jar </w:t>
      </w:r>
    </w:p>
    <w:p w14:paraId="09BA3BD7" w14:textId="419BCEE3" w:rsidR="007F074A" w:rsidRDefault="007F074A" w:rsidP="007F074A">
      <w:pPr>
        <w:pStyle w:val="ListParagraph"/>
        <w:numPr>
          <w:ilvl w:val="0"/>
          <w:numId w:val="8"/>
        </w:numPr>
        <w:ind w:hanging="357"/>
        <w:contextualSpacing w:val="0"/>
      </w:pPr>
      <w:r>
        <w:t xml:space="preserve">Add 1 </w:t>
      </w:r>
      <w:r w:rsidRPr="00753C84">
        <w:t>cm</w:t>
      </w:r>
      <w:r w:rsidRPr="007F074A">
        <w:rPr>
          <w:vertAlign w:val="superscript"/>
        </w:rPr>
        <w:t>3</w:t>
      </w:r>
      <w:r>
        <w:t xml:space="preserve"> less than your determined, measured amount of HNO</w:t>
      </w:r>
      <w:r w:rsidRPr="007F074A">
        <w:rPr>
          <w:vertAlign w:val="subscript"/>
        </w:rPr>
        <w:t>3</w:t>
      </w:r>
      <w:r>
        <w:t xml:space="preserve"> to the copper turnings. (This ensures the metal is in excess)</w:t>
      </w:r>
      <w:r>
        <w:t>.</w:t>
      </w:r>
    </w:p>
    <w:p w14:paraId="48966213" w14:textId="77777777" w:rsidR="007F074A" w:rsidRDefault="007F074A" w:rsidP="007F074A">
      <w:pPr>
        <w:pStyle w:val="ListParagraph"/>
        <w:numPr>
          <w:ilvl w:val="0"/>
          <w:numId w:val="8"/>
        </w:numPr>
        <w:ind w:hanging="357"/>
        <w:contextualSpacing w:val="0"/>
      </w:pPr>
      <w:r>
        <w:t>Place the lid on top of the jar and wait for the reaction to die down. This should leave you with a gas jar full of brown NO</w:t>
      </w:r>
      <w:r w:rsidRPr="007F074A">
        <w:rPr>
          <w:vertAlign w:val="subscript"/>
        </w:rPr>
        <w:t>2</w:t>
      </w:r>
      <w:r>
        <w:t xml:space="preserve"> fumes.</w:t>
      </w:r>
    </w:p>
    <w:p w14:paraId="11A3F25E" w14:textId="77777777" w:rsidR="001E46FD" w:rsidRPr="001E46FD" w:rsidRDefault="001E46FD" w:rsidP="001E46FD">
      <w:pPr>
        <w:pStyle w:val="Heading3"/>
      </w:pPr>
      <w:r w:rsidRPr="001E46FD">
        <w:t>The demonstration</w:t>
      </w:r>
    </w:p>
    <w:p w14:paraId="5995A982" w14:textId="7FA4C30F" w:rsidR="001E46FD" w:rsidRDefault="00E9554A" w:rsidP="001E46FD">
      <w:pPr>
        <w:pStyle w:val="ListParagraph"/>
        <w:numPr>
          <w:ilvl w:val="0"/>
          <w:numId w:val="9"/>
        </w:numPr>
        <w:ind w:hanging="357"/>
        <w:contextualSpacing w:val="0"/>
      </w:pPr>
      <w:r w:rsidRPr="00E9554A">
        <w:drawing>
          <wp:anchor distT="0" distB="0" distL="114300" distR="114300" simplePos="0" relativeHeight="251668480" behindDoc="0" locked="0" layoutInCell="1" allowOverlap="1" wp14:anchorId="0674F76B" wp14:editId="197E4AF9">
            <wp:simplePos x="0" y="0"/>
            <wp:positionH relativeFrom="column">
              <wp:posOffset>2949575</wp:posOffset>
            </wp:positionH>
            <wp:positionV relativeFrom="paragraph">
              <wp:posOffset>9525</wp:posOffset>
            </wp:positionV>
            <wp:extent cx="2782570" cy="3582670"/>
            <wp:effectExtent l="0" t="0" r="0" b="0"/>
            <wp:wrapSquare wrapText="bothSides"/>
            <wp:docPr id="1627553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5360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6FD">
        <w:t xml:space="preserve">Place the gas jar, with its lid still on, on the bench. If </w:t>
      </w:r>
      <w:proofErr w:type="gramStart"/>
      <w:r w:rsidR="001E46FD">
        <w:t>possible</w:t>
      </w:r>
      <w:proofErr w:type="gramEnd"/>
      <w:r w:rsidR="001E46FD">
        <w:t xml:space="preserve"> keep it in the fume cupboard but if the visibility is poor this stage can be carried out in the open lab.</w:t>
      </w:r>
    </w:p>
    <w:p w14:paraId="5D94C441" w14:textId="697D1BEA" w:rsidR="001E46FD" w:rsidRDefault="001E46FD" w:rsidP="001E46FD">
      <w:pPr>
        <w:pStyle w:val="ListParagraph"/>
        <w:numPr>
          <w:ilvl w:val="0"/>
          <w:numId w:val="9"/>
        </w:numPr>
        <w:ind w:hanging="357"/>
        <w:contextualSpacing w:val="0"/>
      </w:pPr>
      <w:r>
        <w:t xml:space="preserve">Use a clamp to hold another gas jar upside down on top of the first jar. Firmly enough to stop it falling over but loosely enough that </w:t>
      </w:r>
      <w:proofErr w:type="gramStart"/>
      <w:r>
        <w:t>in</w:t>
      </w:r>
      <w:proofErr w:type="gramEnd"/>
      <w:r>
        <w:t xml:space="preserve"> can be slid up and down.</w:t>
      </w:r>
    </w:p>
    <w:p w14:paraId="2F39DE43" w14:textId="77AF14CF" w:rsidR="001E46FD" w:rsidRDefault="001E46FD" w:rsidP="001E46FD">
      <w:pPr>
        <w:pStyle w:val="ListParagraph"/>
        <w:numPr>
          <w:ilvl w:val="0"/>
          <w:numId w:val="9"/>
        </w:numPr>
        <w:ind w:hanging="357"/>
        <w:contextualSpacing w:val="0"/>
      </w:pPr>
      <w:r>
        <w:t>At this stage, you have two gas jars with a single lid between them.</w:t>
      </w:r>
    </w:p>
    <w:p w14:paraId="5A10725A" w14:textId="77777777" w:rsidR="001E46FD" w:rsidRPr="001573DC" w:rsidRDefault="001E46FD" w:rsidP="001E46FD">
      <w:pPr>
        <w:pStyle w:val="ListParagraph"/>
        <w:numPr>
          <w:ilvl w:val="0"/>
          <w:numId w:val="9"/>
        </w:numPr>
        <w:ind w:hanging="357"/>
        <w:contextualSpacing w:val="0"/>
      </w:pPr>
      <w:r>
        <w:t>Remove the lid and make sure the top gas jar slides down to seal the gap between the two jars.</w:t>
      </w:r>
    </w:p>
    <w:p w14:paraId="43FFC182" w14:textId="549066D9" w:rsidR="001E46FD" w:rsidRPr="001573DC" w:rsidRDefault="001E46FD" w:rsidP="001E46FD">
      <w:pPr>
        <w:pStyle w:val="ListParagraph"/>
        <w:numPr>
          <w:ilvl w:val="0"/>
          <w:numId w:val="9"/>
        </w:numPr>
        <w:ind w:hanging="357"/>
        <w:contextualSpacing w:val="0"/>
      </w:pPr>
      <w:r w:rsidRPr="001573DC">
        <w:t>Over the next 20 minutes or so, the brown NO</w:t>
      </w:r>
      <w:r w:rsidRPr="00C44C2C">
        <w:rPr>
          <w:vertAlign w:val="subscript"/>
        </w:rPr>
        <w:t>2</w:t>
      </w:r>
      <w:r w:rsidRPr="001573DC">
        <w:t xml:space="preserve"> will diffuse upwards </w:t>
      </w:r>
      <w:r>
        <w:t>to fill</w:t>
      </w:r>
      <w:r w:rsidRPr="001573DC">
        <w:t xml:space="preserve"> the upper jar as well.</w:t>
      </w:r>
      <w:r w:rsidR="00E9554A" w:rsidRPr="00E9554A">
        <w:rPr>
          <w:noProof/>
        </w:rPr>
        <w:t xml:space="preserve"> </w:t>
      </w:r>
    </w:p>
    <w:p w14:paraId="6260739D" w14:textId="6093CFAC" w:rsidR="00787ECE" w:rsidRPr="00787ECE" w:rsidRDefault="00787ECE" w:rsidP="00787ECE"/>
    <w:p w14:paraId="02377466" w14:textId="77777777" w:rsidR="00E62768" w:rsidRDefault="00E62768" w:rsidP="00C44C2C">
      <w:pPr>
        <w:rPr>
          <w:b/>
          <w:bCs/>
        </w:rPr>
      </w:pPr>
    </w:p>
    <w:p w14:paraId="113938A3" w14:textId="77777777" w:rsidR="00E62768" w:rsidRDefault="00E62768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518DE454" w14:textId="5C24F789" w:rsidR="00C44C2C" w:rsidRDefault="00C44C2C" w:rsidP="00C44C2C">
      <w:pPr>
        <w:rPr>
          <w:b/>
          <w:bCs/>
        </w:rPr>
      </w:pPr>
      <w:r w:rsidRPr="001573DC">
        <w:rPr>
          <w:b/>
          <w:bCs/>
        </w:rPr>
        <w:lastRenderedPageBreak/>
        <w:t xml:space="preserve">Disposal </w:t>
      </w:r>
    </w:p>
    <w:p w14:paraId="4B7D507E" w14:textId="08A62F93" w:rsidR="00C44C2C" w:rsidRPr="001573DC" w:rsidRDefault="00C44C2C" w:rsidP="00C44C2C">
      <w:r w:rsidRPr="001573DC">
        <w:t xml:space="preserve">Seal </w:t>
      </w:r>
      <w:r>
        <w:t xml:space="preserve">the two jars </w:t>
      </w:r>
      <w:r w:rsidRPr="001573DC">
        <w:t xml:space="preserve">with </w:t>
      </w:r>
      <w:r>
        <w:t xml:space="preserve">Sellotape (or any other type of tape) </w:t>
      </w:r>
      <w:r w:rsidRPr="001573DC">
        <w:t xml:space="preserve">and </w:t>
      </w:r>
      <w:r>
        <w:t xml:space="preserve">carefully </w:t>
      </w:r>
      <w:r w:rsidRPr="001573DC">
        <w:t>remove</w:t>
      </w:r>
      <w:r>
        <w:t xml:space="preserve"> them, still joined together</w:t>
      </w:r>
      <w:r w:rsidRPr="001573DC">
        <w:t xml:space="preserve"> to a fume</w:t>
      </w:r>
      <w:r>
        <w:t xml:space="preserve"> </w:t>
      </w:r>
      <w:r w:rsidRPr="001573DC">
        <w:t>cupboard.</w:t>
      </w:r>
      <w:r>
        <w:t xml:space="preserve"> (If the fume cupboard is in the same </w:t>
      </w:r>
      <w:proofErr w:type="gramStart"/>
      <w:r>
        <w:t>room</w:t>
      </w:r>
      <w:proofErr w:type="gramEnd"/>
      <w:r>
        <w:t xml:space="preserve"> you can forego the taping up)</w:t>
      </w:r>
      <w:r>
        <w:t>.</w:t>
      </w:r>
    </w:p>
    <w:p w14:paraId="2185D3C8" w14:textId="76A7D244" w:rsidR="00C44C2C" w:rsidRDefault="00C44C2C" w:rsidP="00C44C2C">
      <w:r>
        <w:t xml:space="preserve">Now you can separate them. </w:t>
      </w:r>
      <w:r w:rsidRPr="001573DC">
        <w:t>Add</w:t>
      </w:r>
      <w:r>
        <w:t xml:space="preserve"> some</w:t>
      </w:r>
      <w:r w:rsidRPr="001573DC">
        <w:t xml:space="preserve"> water to each gas jar</w:t>
      </w:r>
      <w:r>
        <w:t xml:space="preserve">, swirl around and wash </w:t>
      </w:r>
      <w:r w:rsidRPr="001573DC">
        <w:t>the contents</w:t>
      </w:r>
      <w:r>
        <w:t xml:space="preserve"> to waste with more fresh running water.</w:t>
      </w:r>
    </w:p>
    <w:p w14:paraId="6260739E" w14:textId="250C5D9E" w:rsidR="000153CF" w:rsidRDefault="000153CF"/>
    <w:sectPr w:rsidR="000153CF" w:rsidSect="009F76EE">
      <w:pgSz w:w="11906" w:h="16838"/>
      <w:pgMar w:top="1276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8AD"/>
    <w:multiLevelType w:val="hybridMultilevel"/>
    <w:tmpl w:val="44C4637A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36D41DF2"/>
    <w:multiLevelType w:val="hybridMultilevel"/>
    <w:tmpl w:val="F13AE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840FE"/>
    <w:multiLevelType w:val="hybridMultilevel"/>
    <w:tmpl w:val="44C4637A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75050F3B"/>
    <w:multiLevelType w:val="hybridMultilevel"/>
    <w:tmpl w:val="617AE8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93483"/>
    <w:multiLevelType w:val="hybridMultilevel"/>
    <w:tmpl w:val="617AE8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24C64"/>
    <w:multiLevelType w:val="multilevel"/>
    <w:tmpl w:val="CD84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0E33BA"/>
    <w:multiLevelType w:val="hybridMultilevel"/>
    <w:tmpl w:val="3626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846731">
    <w:abstractNumId w:val="3"/>
  </w:num>
  <w:num w:numId="2" w16cid:durableId="1810046841">
    <w:abstractNumId w:val="0"/>
  </w:num>
  <w:num w:numId="3" w16cid:durableId="1918981224">
    <w:abstractNumId w:val="4"/>
  </w:num>
  <w:num w:numId="4" w16cid:durableId="1481730187">
    <w:abstractNumId w:val="7"/>
  </w:num>
  <w:num w:numId="5" w16cid:durableId="473177587">
    <w:abstractNumId w:val="2"/>
  </w:num>
  <w:num w:numId="6" w16cid:durableId="409237522">
    <w:abstractNumId w:val="1"/>
  </w:num>
  <w:num w:numId="7" w16cid:durableId="519396704">
    <w:abstractNumId w:val="8"/>
  </w:num>
  <w:num w:numId="8" w16cid:durableId="1281376469">
    <w:abstractNumId w:val="6"/>
  </w:num>
  <w:num w:numId="9" w16cid:durableId="2107532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ECE"/>
    <w:rsid w:val="000153CF"/>
    <w:rsid w:val="00051DBD"/>
    <w:rsid w:val="00053134"/>
    <w:rsid w:val="000F0B77"/>
    <w:rsid w:val="001677C8"/>
    <w:rsid w:val="001E46FD"/>
    <w:rsid w:val="002427C9"/>
    <w:rsid w:val="00254E2A"/>
    <w:rsid w:val="00265B2A"/>
    <w:rsid w:val="0027132C"/>
    <w:rsid w:val="00271738"/>
    <w:rsid w:val="00300510"/>
    <w:rsid w:val="0031157A"/>
    <w:rsid w:val="0033088E"/>
    <w:rsid w:val="003C22F8"/>
    <w:rsid w:val="003C4BF0"/>
    <w:rsid w:val="003F655C"/>
    <w:rsid w:val="00407744"/>
    <w:rsid w:val="0045252C"/>
    <w:rsid w:val="00462F40"/>
    <w:rsid w:val="00463C26"/>
    <w:rsid w:val="004952AF"/>
    <w:rsid w:val="004B03D4"/>
    <w:rsid w:val="004E5539"/>
    <w:rsid w:val="00540CC0"/>
    <w:rsid w:val="00570FC0"/>
    <w:rsid w:val="005839B8"/>
    <w:rsid w:val="00591D9A"/>
    <w:rsid w:val="005954B5"/>
    <w:rsid w:val="00784B8D"/>
    <w:rsid w:val="00787ECE"/>
    <w:rsid w:val="007A4A95"/>
    <w:rsid w:val="007B49C7"/>
    <w:rsid w:val="007C044B"/>
    <w:rsid w:val="007F074A"/>
    <w:rsid w:val="00832E71"/>
    <w:rsid w:val="008975B0"/>
    <w:rsid w:val="008A56F6"/>
    <w:rsid w:val="008B4242"/>
    <w:rsid w:val="008E5CAA"/>
    <w:rsid w:val="008F0D38"/>
    <w:rsid w:val="00963D35"/>
    <w:rsid w:val="009E7A07"/>
    <w:rsid w:val="009F76EE"/>
    <w:rsid w:val="00A62F6B"/>
    <w:rsid w:val="00AD2BF2"/>
    <w:rsid w:val="00B32645"/>
    <w:rsid w:val="00BB125D"/>
    <w:rsid w:val="00BD73E7"/>
    <w:rsid w:val="00C44C2C"/>
    <w:rsid w:val="00C7744B"/>
    <w:rsid w:val="00CF4C7D"/>
    <w:rsid w:val="00D1237B"/>
    <w:rsid w:val="00DA10F8"/>
    <w:rsid w:val="00E62768"/>
    <w:rsid w:val="00E9554A"/>
    <w:rsid w:val="00EA4D26"/>
    <w:rsid w:val="00EC1356"/>
    <w:rsid w:val="00F11247"/>
    <w:rsid w:val="00F5195B"/>
    <w:rsid w:val="00FB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2607383"/>
  <w15:docId w15:val="{4D44162D-C94A-4575-A365-0DD4DA87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BD"/>
    <w:pPr>
      <w:spacing w:after="12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F8"/>
    <w:pPr>
      <w:outlineLvl w:val="0"/>
    </w:pPr>
    <w:rPr>
      <w:rFonts w:cstheme="majorBidi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0F8"/>
    <w:pPr>
      <w:outlineLvl w:val="1"/>
    </w:pPr>
    <w:rPr>
      <w:rFonts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F8"/>
    <w:pPr>
      <w:outlineLvl w:val="2"/>
    </w:pPr>
    <w:rPr>
      <w:rFonts w:cs="Times New Roman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0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0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0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0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0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0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10F8"/>
    <w:rPr>
      <w:rFonts w:ascii="Times New Roman" w:hAnsi="Times New Roman" w:cstheme="majorBidi"/>
      <w:b/>
      <w:bCs/>
      <w:color w:val="365F91" w:themeColor="accent1" w:themeShade="B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10F8"/>
    <w:rPr>
      <w:rFonts w:ascii="Times New Roman" w:hAnsi="Times New Roman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A10F8"/>
    <w:pPr>
      <w:spacing w:after="180" w:line="264" w:lineRule="auto"/>
      <w:jc w:val="center"/>
    </w:pPr>
    <w:rPr>
      <w:rFonts w:eastAsiaTheme="majorEastAsia" w:cstheme="majorBidi"/>
      <w:color w:val="365F91" w:themeColor="accent1" w:themeShade="BF"/>
      <w:spacing w:val="-15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A10F8"/>
    <w:rPr>
      <w:rFonts w:ascii="Times New Roman" w:eastAsiaTheme="majorEastAsia" w:hAnsi="Times New Roman" w:cstheme="majorBidi"/>
      <w:color w:val="365F91" w:themeColor="accent1" w:themeShade="BF"/>
      <w:spacing w:val="-15"/>
      <w:sz w:val="56"/>
      <w:szCs w:val="56"/>
      <w:u w:val="single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0F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0F8"/>
    <w:rPr>
      <w:rFonts w:asciiTheme="majorHAnsi" w:eastAsiaTheme="majorEastAsia" w:hAnsiTheme="majorHAnsi" w:cstheme="majorBidi"/>
      <w:color w:val="4F81BD" w:themeColor="accent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A1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A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A10F8"/>
    <w:rPr>
      <w:rFonts w:ascii="Times New Roman" w:hAnsi="Times New Roman" w:cs="Times New Roman"/>
      <w:b/>
      <w:bCs/>
      <w:color w:val="365F91" w:themeColor="accent1" w:themeShade="B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0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0F8"/>
    <w:rPr>
      <w:rFonts w:asciiTheme="majorHAnsi" w:eastAsiaTheme="majorEastAsia" w:hAnsiTheme="majorHAnsi" w:cstheme="majorBidi"/>
      <w:caps/>
      <w:color w:val="365F91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0F8"/>
    <w:rPr>
      <w:rFonts w:asciiTheme="majorHAnsi" w:eastAsiaTheme="majorEastAsia" w:hAnsiTheme="majorHAnsi" w:cstheme="majorBidi"/>
      <w:i/>
      <w:iCs/>
      <w:caps/>
      <w:color w:val="244061" w:themeColor="accent1" w:themeShade="8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0F8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0F8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0F8"/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10F8"/>
    <w:pPr>
      <w:spacing w:line="240" w:lineRule="auto"/>
    </w:pPr>
    <w:rPr>
      <w:rFonts w:cs="Times New Roman"/>
      <w:b/>
      <w:bCs/>
      <w:smallCaps/>
      <w:color w:val="1F497D" w:themeColor="text2"/>
    </w:rPr>
  </w:style>
  <w:style w:type="character" w:styleId="Strong">
    <w:name w:val="Strong"/>
    <w:basedOn w:val="DefaultParagraphFont"/>
    <w:uiPriority w:val="22"/>
    <w:qFormat/>
    <w:rsid w:val="00DA10F8"/>
    <w:rPr>
      <w:b/>
      <w:bCs/>
    </w:rPr>
  </w:style>
  <w:style w:type="character" w:styleId="Emphasis">
    <w:name w:val="Emphasis"/>
    <w:basedOn w:val="DefaultParagraphFont"/>
    <w:uiPriority w:val="20"/>
    <w:qFormat/>
    <w:rsid w:val="00DA10F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A10F8"/>
    <w:pPr>
      <w:spacing w:before="120"/>
      <w:ind w:left="720"/>
    </w:pPr>
    <w:rPr>
      <w:rFonts w:cs="Times New Roman"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DA10F8"/>
    <w:rPr>
      <w:rFonts w:ascii="Times New Roman" w:hAnsi="Times New Roman" w:cs="Times New Roman"/>
      <w:color w:val="1F497D" w:themeColor="text2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0F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0F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DA10F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A10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10F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A10F8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A10F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0F8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759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241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181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177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633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23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3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3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8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230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40</cp:revision>
  <cp:lastPrinted>2014-03-18T12:40:00Z</cp:lastPrinted>
  <dcterms:created xsi:type="dcterms:W3CDTF">2014-03-17T15:47:00Z</dcterms:created>
  <dcterms:modified xsi:type="dcterms:W3CDTF">2024-10-15T11:21:00Z</dcterms:modified>
</cp:coreProperties>
</file>