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3C33" w14:textId="77777777" w:rsidR="00D70CF6" w:rsidRDefault="00A107C2">
      <w:pPr>
        <w:pStyle w:val="Title"/>
        <w:jc w:val="center"/>
      </w:pPr>
      <w:r>
        <w:t>Advertising in the SSERC Bulletin</w:t>
      </w:r>
    </w:p>
    <w:p w14:paraId="0CB25529" w14:textId="77777777" w:rsidR="00D70CF6" w:rsidRDefault="00A107C2">
      <w:r>
        <w:t>SSERC Bulletins are digital publications that provide advertising opportunities for organisations supporting STEM education. This document outlines advertisement sizes, technical requirements, costs, publication deadlines, and advertising terms.</w:t>
      </w:r>
    </w:p>
    <w:p w14:paraId="3079B733" w14:textId="77777777" w:rsidR="00D70CF6" w:rsidRDefault="00A107C2">
      <w:pPr>
        <w:pStyle w:val="Heading1"/>
      </w:pPr>
      <w:r>
        <w:t>Advertisement Sizes</w:t>
      </w:r>
    </w:p>
    <w:p w14:paraId="4875E6EF" w14:textId="77777777" w:rsidR="00D70CF6" w:rsidRDefault="00A107C2">
      <w:r>
        <w:t>The following advertisement sizes are available: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70CF6" w14:paraId="307178A2" w14:textId="77777777">
        <w:tc>
          <w:tcPr>
            <w:tcW w:w="4320" w:type="dxa"/>
          </w:tcPr>
          <w:p w14:paraId="6E293CA2" w14:textId="77777777" w:rsidR="00D70CF6" w:rsidRDefault="00A107C2">
            <w:r>
              <w:t>Advert Type</w:t>
            </w:r>
          </w:p>
        </w:tc>
        <w:tc>
          <w:tcPr>
            <w:tcW w:w="4320" w:type="dxa"/>
          </w:tcPr>
          <w:p w14:paraId="3F07FC93" w14:textId="77777777" w:rsidR="00D70CF6" w:rsidRDefault="00A107C2">
            <w:r>
              <w:t>Dimensions</w:t>
            </w:r>
          </w:p>
        </w:tc>
      </w:tr>
      <w:tr w:rsidR="00D70CF6" w14:paraId="4D266CA2" w14:textId="77777777">
        <w:tc>
          <w:tcPr>
            <w:tcW w:w="4320" w:type="dxa"/>
          </w:tcPr>
          <w:p w14:paraId="0C2DA18B" w14:textId="77777777" w:rsidR="00D70CF6" w:rsidRDefault="00A107C2">
            <w:r>
              <w:t>Full Page</w:t>
            </w:r>
          </w:p>
        </w:tc>
        <w:tc>
          <w:tcPr>
            <w:tcW w:w="4320" w:type="dxa"/>
          </w:tcPr>
          <w:p w14:paraId="4D9AF7EF" w14:textId="77777777" w:rsidR="00D70CF6" w:rsidRDefault="00A107C2">
            <w:r>
              <w:t>180 × 270 mm</w:t>
            </w:r>
          </w:p>
        </w:tc>
      </w:tr>
      <w:tr w:rsidR="00D70CF6" w14:paraId="4D312AC7" w14:textId="77777777">
        <w:tc>
          <w:tcPr>
            <w:tcW w:w="4320" w:type="dxa"/>
          </w:tcPr>
          <w:p w14:paraId="56225067" w14:textId="77777777" w:rsidR="00D70CF6" w:rsidRDefault="00A107C2">
            <w:r>
              <w:t>Half Page</w:t>
            </w:r>
          </w:p>
        </w:tc>
        <w:tc>
          <w:tcPr>
            <w:tcW w:w="4320" w:type="dxa"/>
          </w:tcPr>
          <w:p w14:paraId="7D73592E" w14:textId="77777777" w:rsidR="00D70CF6" w:rsidRDefault="00A107C2">
            <w:r>
              <w:t>180 × 130 mm</w:t>
            </w:r>
          </w:p>
        </w:tc>
      </w:tr>
      <w:tr w:rsidR="00D70CF6" w14:paraId="554F4E1A" w14:textId="77777777">
        <w:tc>
          <w:tcPr>
            <w:tcW w:w="4320" w:type="dxa"/>
          </w:tcPr>
          <w:p w14:paraId="7242F1E0" w14:textId="77777777" w:rsidR="00D70CF6" w:rsidRDefault="00A107C2">
            <w:r>
              <w:t>Quarter Page</w:t>
            </w:r>
          </w:p>
        </w:tc>
        <w:tc>
          <w:tcPr>
            <w:tcW w:w="4320" w:type="dxa"/>
          </w:tcPr>
          <w:p w14:paraId="0D46198F" w14:textId="77777777" w:rsidR="00D70CF6" w:rsidRDefault="00A107C2">
            <w:r>
              <w:t>85 × 130 mm</w:t>
            </w:r>
          </w:p>
        </w:tc>
      </w:tr>
    </w:tbl>
    <w:p w14:paraId="5E741C67" w14:textId="77777777" w:rsidR="00D70CF6" w:rsidRDefault="00A107C2">
      <w:r>
        <w:t>Dimensions refer to the bounding box size of the advertisement.</w:t>
      </w:r>
    </w:p>
    <w:p w14:paraId="277276E8" w14:textId="77777777" w:rsidR="00D70CF6" w:rsidRDefault="00A107C2">
      <w:pPr>
        <w:pStyle w:val="Heading1"/>
      </w:pPr>
      <w:r>
        <w:t>Artwork Requirements</w:t>
      </w:r>
    </w:p>
    <w:p w14:paraId="6D4873CD" w14:textId="77777777" w:rsidR="00D70CF6" w:rsidRDefault="00A107C2">
      <w:pPr>
        <w:pStyle w:val="ListBullet"/>
      </w:pPr>
      <w:r>
        <w:t>Supply artwork as a high‑resolution PDF (fonts outlined) or high‑resolution JPEG.</w:t>
      </w:r>
    </w:p>
    <w:p w14:paraId="0F8F714B" w14:textId="77777777" w:rsidR="00D70CF6" w:rsidRDefault="00A107C2">
      <w:pPr>
        <w:pStyle w:val="ListBullet"/>
      </w:pPr>
      <w:r>
        <w:t>Artwork should be at least 300 dpi.</w:t>
      </w:r>
    </w:p>
    <w:p w14:paraId="0CF9FA6E" w14:textId="77777777" w:rsidR="00D70CF6" w:rsidRDefault="00A107C2">
      <w:pPr>
        <w:pStyle w:val="ListBullet"/>
      </w:pPr>
      <w:r>
        <w:t>Artwork should match the advert size booked.</w:t>
      </w:r>
    </w:p>
    <w:p w14:paraId="6D08F991" w14:textId="77777777" w:rsidR="00D70CF6" w:rsidRDefault="00A107C2">
      <w:r>
        <w:t>If artwork does not meet the required standard, SSERC will notify the advertiser and allow a replacement to be supplied. SSERC cannot guarantee reproduction quality where artwork is not provided to the required standard.</w:t>
      </w:r>
    </w:p>
    <w:p w14:paraId="0C5B24F1" w14:textId="77777777" w:rsidR="00D70CF6" w:rsidRDefault="00A107C2">
      <w:pPr>
        <w:pStyle w:val="Heading1"/>
      </w:pPr>
      <w:r>
        <w:t>Advertising Costs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70CF6" w14:paraId="273B68B8" w14:textId="77777777">
        <w:tc>
          <w:tcPr>
            <w:tcW w:w="2880" w:type="dxa"/>
          </w:tcPr>
          <w:p w14:paraId="1FA4EF5E" w14:textId="77777777" w:rsidR="00D70CF6" w:rsidRDefault="00A107C2">
            <w:r>
              <w:t>Advert Type</w:t>
            </w:r>
          </w:p>
        </w:tc>
        <w:tc>
          <w:tcPr>
            <w:tcW w:w="2880" w:type="dxa"/>
          </w:tcPr>
          <w:p w14:paraId="157FBD5F" w14:textId="77777777" w:rsidR="00D70CF6" w:rsidRDefault="00A107C2">
            <w:r>
              <w:t>Cost Per Issue</w:t>
            </w:r>
          </w:p>
        </w:tc>
        <w:tc>
          <w:tcPr>
            <w:tcW w:w="2880" w:type="dxa"/>
          </w:tcPr>
          <w:p w14:paraId="60909F48" w14:textId="77777777" w:rsidR="00D70CF6" w:rsidRDefault="00A107C2">
            <w:r>
              <w:t>Annual Cost (Two Issues)</w:t>
            </w:r>
          </w:p>
        </w:tc>
      </w:tr>
      <w:tr w:rsidR="00D70CF6" w14:paraId="6E17575E" w14:textId="77777777">
        <w:tc>
          <w:tcPr>
            <w:tcW w:w="2880" w:type="dxa"/>
          </w:tcPr>
          <w:p w14:paraId="2D2D3356" w14:textId="77777777" w:rsidR="00D70CF6" w:rsidRDefault="00A107C2">
            <w:r>
              <w:t>Full Page</w:t>
            </w:r>
          </w:p>
        </w:tc>
        <w:tc>
          <w:tcPr>
            <w:tcW w:w="2880" w:type="dxa"/>
          </w:tcPr>
          <w:p w14:paraId="3A173193" w14:textId="77777777" w:rsidR="00D70CF6" w:rsidRDefault="00A107C2">
            <w:r>
              <w:t>£275 + VAT</w:t>
            </w:r>
          </w:p>
        </w:tc>
        <w:tc>
          <w:tcPr>
            <w:tcW w:w="2880" w:type="dxa"/>
          </w:tcPr>
          <w:p w14:paraId="26D5AB3F" w14:textId="77777777" w:rsidR="00D70CF6" w:rsidRDefault="00A107C2">
            <w:r>
              <w:t>£450 + VAT</w:t>
            </w:r>
          </w:p>
        </w:tc>
      </w:tr>
      <w:tr w:rsidR="00D70CF6" w14:paraId="0793C20A" w14:textId="77777777">
        <w:tc>
          <w:tcPr>
            <w:tcW w:w="2880" w:type="dxa"/>
          </w:tcPr>
          <w:p w14:paraId="107F95EE" w14:textId="77777777" w:rsidR="00D70CF6" w:rsidRDefault="00A107C2">
            <w:r>
              <w:t>Half Page</w:t>
            </w:r>
          </w:p>
        </w:tc>
        <w:tc>
          <w:tcPr>
            <w:tcW w:w="2880" w:type="dxa"/>
          </w:tcPr>
          <w:p w14:paraId="09A78AC7" w14:textId="77777777" w:rsidR="00D70CF6" w:rsidRDefault="00A107C2">
            <w:r>
              <w:t>£150 + VAT</w:t>
            </w:r>
          </w:p>
        </w:tc>
        <w:tc>
          <w:tcPr>
            <w:tcW w:w="2880" w:type="dxa"/>
          </w:tcPr>
          <w:p w14:paraId="7B83BA6C" w14:textId="77777777" w:rsidR="00D70CF6" w:rsidRDefault="00A107C2">
            <w:r>
              <w:t>£250 + VAT</w:t>
            </w:r>
          </w:p>
        </w:tc>
      </w:tr>
      <w:tr w:rsidR="00D70CF6" w14:paraId="611C564A" w14:textId="77777777">
        <w:tc>
          <w:tcPr>
            <w:tcW w:w="2880" w:type="dxa"/>
          </w:tcPr>
          <w:p w14:paraId="4A87B666" w14:textId="77777777" w:rsidR="00D70CF6" w:rsidRDefault="00A107C2">
            <w:r>
              <w:t>Quarter Page</w:t>
            </w:r>
          </w:p>
        </w:tc>
        <w:tc>
          <w:tcPr>
            <w:tcW w:w="2880" w:type="dxa"/>
          </w:tcPr>
          <w:p w14:paraId="536D4CCE" w14:textId="77777777" w:rsidR="00D70CF6" w:rsidRDefault="00A107C2">
            <w:r>
              <w:t>£100 + VAT</w:t>
            </w:r>
          </w:p>
        </w:tc>
        <w:tc>
          <w:tcPr>
            <w:tcW w:w="2880" w:type="dxa"/>
          </w:tcPr>
          <w:p w14:paraId="23286E4D" w14:textId="77777777" w:rsidR="00D70CF6" w:rsidRDefault="00A107C2">
            <w:r>
              <w:t>£175 + VAT</w:t>
            </w:r>
          </w:p>
        </w:tc>
      </w:tr>
    </w:tbl>
    <w:p w14:paraId="17273851" w14:textId="77777777" w:rsidR="00D70CF6" w:rsidRDefault="00A107C2">
      <w:pPr>
        <w:pStyle w:val="Heading1"/>
      </w:pPr>
      <w:r>
        <w:t>Booking Information</w:t>
      </w:r>
    </w:p>
    <w:p w14:paraId="56A83053" w14:textId="77777777" w:rsidR="00D70CF6" w:rsidRDefault="00A107C2">
      <w:pPr>
        <w:pStyle w:val="ListBullet"/>
      </w:pPr>
      <w:r>
        <w:t>Company name</w:t>
      </w:r>
    </w:p>
    <w:p w14:paraId="0D52C323" w14:textId="77777777" w:rsidR="00D70CF6" w:rsidRDefault="00A107C2">
      <w:pPr>
        <w:pStyle w:val="ListBullet"/>
      </w:pPr>
      <w:r>
        <w:t>Contact person</w:t>
      </w:r>
    </w:p>
    <w:p w14:paraId="3B14C72B" w14:textId="77777777" w:rsidR="00D70CF6" w:rsidRDefault="00A107C2">
      <w:pPr>
        <w:pStyle w:val="ListBullet"/>
      </w:pPr>
      <w:r>
        <w:lastRenderedPageBreak/>
        <w:t>Business address</w:t>
      </w:r>
    </w:p>
    <w:p w14:paraId="272991F7" w14:textId="77777777" w:rsidR="00D70CF6" w:rsidRDefault="00A107C2">
      <w:pPr>
        <w:pStyle w:val="ListBullet"/>
      </w:pPr>
      <w:r>
        <w:t>Contact email address</w:t>
      </w:r>
    </w:p>
    <w:p w14:paraId="00D1864E" w14:textId="77777777" w:rsidR="00D70CF6" w:rsidRDefault="00A107C2">
      <w:pPr>
        <w:pStyle w:val="ListBullet"/>
      </w:pPr>
      <w:r>
        <w:t>Purchase order authorising the expenditure</w:t>
      </w:r>
    </w:p>
    <w:p w14:paraId="0119FC16" w14:textId="77777777" w:rsidR="00D70CF6" w:rsidRDefault="00A107C2">
      <w:pPr>
        <w:pStyle w:val="Heading1"/>
      </w:pPr>
      <w:r>
        <w:t>Publication Schedule</w:t>
      </w:r>
    </w:p>
    <w:p w14:paraId="5CE88FBD" w14:textId="77777777" w:rsidR="00D70CF6" w:rsidRDefault="00A107C2">
      <w:pPr>
        <w:pStyle w:val="Heading2"/>
      </w:pPr>
      <w:r>
        <w:t>STEM Bulletin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70CF6" w14:paraId="220FB77D" w14:textId="77777777">
        <w:tc>
          <w:tcPr>
            <w:tcW w:w="2880" w:type="dxa"/>
          </w:tcPr>
          <w:p w14:paraId="60DF3064" w14:textId="77777777" w:rsidR="00D70CF6" w:rsidRDefault="00A107C2">
            <w:r>
              <w:t>Issue</w:t>
            </w:r>
          </w:p>
        </w:tc>
        <w:tc>
          <w:tcPr>
            <w:tcW w:w="2880" w:type="dxa"/>
          </w:tcPr>
          <w:p w14:paraId="6D505F0A" w14:textId="77777777" w:rsidR="00D70CF6" w:rsidRDefault="00A107C2">
            <w:r>
              <w:t>Submission Deadline</w:t>
            </w:r>
          </w:p>
        </w:tc>
        <w:tc>
          <w:tcPr>
            <w:tcW w:w="2880" w:type="dxa"/>
          </w:tcPr>
          <w:p w14:paraId="3F5B065B" w14:textId="77777777" w:rsidR="00D70CF6" w:rsidRDefault="00A107C2">
            <w:r>
              <w:t>Publication Date</w:t>
            </w:r>
          </w:p>
        </w:tc>
      </w:tr>
      <w:tr w:rsidR="00D70CF6" w14:paraId="762EB476" w14:textId="77777777">
        <w:tc>
          <w:tcPr>
            <w:tcW w:w="2880" w:type="dxa"/>
          </w:tcPr>
          <w:p w14:paraId="4FFEF580" w14:textId="77777777" w:rsidR="00D70CF6" w:rsidRDefault="00A107C2">
            <w:r>
              <w:t>Dec 2026 (Issue 285)</w:t>
            </w:r>
          </w:p>
        </w:tc>
        <w:tc>
          <w:tcPr>
            <w:tcW w:w="2880" w:type="dxa"/>
          </w:tcPr>
          <w:p w14:paraId="031D0718" w14:textId="77777777" w:rsidR="00D70CF6" w:rsidRDefault="00A107C2">
            <w:r>
              <w:t>9 Nov 2026</w:t>
            </w:r>
          </w:p>
        </w:tc>
        <w:tc>
          <w:tcPr>
            <w:tcW w:w="2880" w:type="dxa"/>
          </w:tcPr>
          <w:p w14:paraId="0BA5E429" w14:textId="77777777" w:rsidR="00D70CF6" w:rsidRDefault="00A107C2">
            <w:r>
              <w:t>18 Dec 2026</w:t>
            </w:r>
          </w:p>
        </w:tc>
      </w:tr>
      <w:tr w:rsidR="00D70CF6" w14:paraId="3C0DA363" w14:textId="77777777">
        <w:tc>
          <w:tcPr>
            <w:tcW w:w="2880" w:type="dxa"/>
          </w:tcPr>
          <w:p w14:paraId="78CE1335" w14:textId="77777777" w:rsidR="00D70CF6" w:rsidRDefault="00A107C2">
            <w:r>
              <w:t>June 2027 (Issue 286)</w:t>
            </w:r>
          </w:p>
        </w:tc>
        <w:tc>
          <w:tcPr>
            <w:tcW w:w="2880" w:type="dxa"/>
          </w:tcPr>
          <w:p w14:paraId="14C3CF05" w14:textId="77777777" w:rsidR="00D70CF6" w:rsidRDefault="00A107C2">
            <w:r>
              <w:t>30 Apr 2027</w:t>
            </w:r>
          </w:p>
        </w:tc>
        <w:tc>
          <w:tcPr>
            <w:tcW w:w="2880" w:type="dxa"/>
          </w:tcPr>
          <w:p w14:paraId="36E9A28C" w14:textId="77777777" w:rsidR="00D70CF6" w:rsidRDefault="00A107C2">
            <w:r>
              <w:t>25 June 2027</w:t>
            </w:r>
          </w:p>
        </w:tc>
      </w:tr>
    </w:tbl>
    <w:p w14:paraId="7241CE3A" w14:textId="77777777" w:rsidR="00D70CF6" w:rsidRDefault="00D70CF6"/>
    <w:p w14:paraId="619168ED" w14:textId="77777777" w:rsidR="00D70CF6" w:rsidRDefault="00A107C2">
      <w:pPr>
        <w:pStyle w:val="Heading2"/>
      </w:pPr>
      <w:r>
        <w:t>Early Years &amp; Primary STEM Bulletin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70CF6" w14:paraId="7B74D0CE" w14:textId="77777777">
        <w:tc>
          <w:tcPr>
            <w:tcW w:w="2880" w:type="dxa"/>
          </w:tcPr>
          <w:p w14:paraId="22732EA1" w14:textId="77777777" w:rsidR="00D70CF6" w:rsidRDefault="00A107C2">
            <w:r>
              <w:t>Issue</w:t>
            </w:r>
          </w:p>
        </w:tc>
        <w:tc>
          <w:tcPr>
            <w:tcW w:w="2880" w:type="dxa"/>
          </w:tcPr>
          <w:p w14:paraId="37D0AADC" w14:textId="77777777" w:rsidR="00D70CF6" w:rsidRDefault="00A107C2">
            <w:r>
              <w:t>Submission Deadline</w:t>
            </w:r>
          </w:p>
        </w:tc>
        <w:tc>
          <w:tcPr>
            <w:tcW w:w="2880" w:type="dxa"/>
          </w:tcPr>
          <w:p w14:paraId="5B3781A0" w14:textId="77777777" w:rsidR="00D70CF6" w:rsidRDefault="00A107C2">
            <w:r>
              <w:t>Publication Date</w:t>
            </w:r>
          </w:p>
        </w:tc>
      </w:tr>
      <w:tr w:rsidR="00D70CF6" w14:paraId="0F781F11" w14:textId="77777777">
        <w:tc>
          <w:tcPr>
            <w:tcW w:w="2880" w:type="dxa"/>
          </w:tcPr>
          <w:p w14:paraId="4B7B6E70" w14:textId="77777777" w:rsidR="00D70CF6" w:rsidRDefault="00A107C2">
            <w:r>
              <w:t>Jan 2027 (Issue 103)</w:t>
            </w:r>
          </w:p>
        </w:tc>
        <w:tc>
          <w:tcPr>
            <w:tcW w:w="2880" w:type="dxa"/>
          </w:tcPr>
          <w:p w14:paraId="5948A56A" w14:textId="77777777" w:rsidR="00D70CF6" w:rsidRDefault="00A107C2">
            <w:r>
              <w:t>9 Nov 2026</w:t>
            </w:r>
          </w:p>
        </w:tc>
        <w:tc>
          <w:tcPr>
            <w:tcW w:w="2880" w:type="dxa"/>
          </w:tcPr>
          <w:p w14:paraId="52FEAE78" w14:textId="77777777" w:rsidR="00D70CF6" w:rsidRDefault="00A107C2">
            <w:r>
              <w:t>29 Jan 2027</w:t>
            </w:r>
          </w:p>
        </w:tc>
      </w:tr>
      <w:tr w:rsidR="00D70CF6" w14:paraId="63EBB7FE" w14:textId="77777777">
        <w:tc>
          <w:tcPr>
            <w:tcW w:w="2880" w:type="dxa"/>
          </w:tcPr>
          <w:p w14:paraId="0E4C911E" w14:textId="77777777" w:rsidR="00D70CF6" w:rsidRDefault="00A107C2">
            <w:r>
              <w:t>July 2027 (Issue 104)</w:t>
            </w:r>
          </w:p>
        </w:tc>
        <w:tc>
          <w:tcPr>
            <w:tcW w:w="2880" w:type="dxa"/>
          </w:tcPr>
          <w:p w14:paraId="2A67D962" w14:textId="77777777" w:rsidR="00D70CF6" w:rsidRDefault="00A107C2">
            <w:r>
              <w:t>17 May 2027</w:t>
            </w:r>
          </w:p>
        </w:tc>
        <w:tc>
          <w:tcPr>
            <w:tcW w:w="2880" w:type="dxa"/>
          </w:tcPr>
          <w:p w14:paraId="6D0B41E4" w14:textId="77777777" w:rsidR="00D70CF6" w:rsidRDefault="00A107C2">
            <w:r>
              <w:t>30 July 2027</w:t>
            </w:r>
          </w:p>
        </w:tc>
      </w:tr>
    </w:tbl>
    <w:p w14:paraId="64FE8854" w14:textId="77777777" w:rsidR="00D70CF6" w:rsidRDefault="00D70CF6"/>
    <w:p w14:paraId="13C0DE6D" w14:textId="77777777" w:rsidR="00D70CF6" w:rsidRDefault="00A107C2">
      <w:pPr>
        <w:pStyle w:val="Heading2"/>
      </w:pPr>
      <w:r>
        <w:t>School STEM Technician Bulletin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70CF6" w14:paraId="3195B2E1" w14:textId="77777777">
        <w:tc>
          <w:tcPr>
            <w:tcW w:w="2880" w:type="dxa"/>
          </w:tcPr>
          <w:p w14:paraId="6921C241" w14:textId="77777777" w:rsidR="00D70CF6" w:rsidRDefault="00A107C2">
            <w:r>
              <w:t>Issue</w:t>
            </w:r>
          </w:p>
        </w:tc>
        <w:tc>
          <w:tcPr>
            <w:tcW w:w="2880" w:type="dxa"/>
          </w:tcPr>
          <w:p w14:paraId="4F261C77" w14:textId="77777777" w:rsidR="00D70CF6" w:rsidRDefault="00A107C2">
            <w:r>
              <w:t>Submission Deadline</w:t>
            </w:r>
          </w:p>
        </w:tc>
        <w:tc>
          <w:tcPr>
            <w:tcW w:w="2880" w:type="dxa"/>
          </w:tcPr>
          <w:p w14:paraId="041EEDCE" w14:textId="77777777" w:rsidR="00D70CF6" w:rsidRDefault="00A107C2">
            <w:r>
              <w:t>Publication Date</w:t>
            </w:r>
          </w:p>
        </w:tc>
      </w:tr>
      <w:tr w:rsidR="00D70CF6" w14:paraId="02E75348" w14:textId="77777777">
        <w:tc>
          <w:tcPr>
            <w:tcW w:w="2880" w:type="dxa"/>
          </w:tcPr>
          <w:p w14:paraId="56FC40AC" w14:textId="77777777" w:rsidR="00D70CF6" w:rsidRDefault="00A107C2">
            <w:r>
              <w:t>Nov 2026 (Issue 11)</w:t>
            </w:r>
          </w:p>
        </w:tc>
        <w:tc>
          <w:tcPr>
            <w:tcW w:w="2880" w:type="dxa"/>
          </w:tcPr>
          <w:p w14:paraId="2649E5A5" w14:textId="77777777" w:rsidR="00D70CF6" w:rsidRDefault="00A107C2">
            <w:r>
              <w:t>21 Sept 2026</w:t>
            </w:r>
          </w:p>
        </w:tc>
        <w:tc>
          <w:tcPr>
            <w:tcW w:w="2880" w:type="dxa"/>
          </w:tcPr>
          <w:p w14:paraId="7BFBB8A4" w14:textId="77777777" w:rsidR="00D70CF6" w:rsidRDefault="00A107C2">
            <w:r>
              <w:t>27 Nov 2026</w:t>
            </w:r>
          </w:p>
        </w:tc>
      </w:tr>
      <w:tr w:rsidR="00D70CF6" w14:paraId="44A3038F" w14:textId="77777777">
        <w:tc>
          <w:tcPr>
            <w:tcW w:w="2880" w:type="dxa"/>
          </w:tcPr>
          <w:p w14:paraId="7F72B39D" w14:textId="77777777" w:rsidR="00D70CF6" w:rsidRDefault="00A107C2">
            <w:r>
              <w:t>May 2027 (Issue 12)</w:t>
            </w:r>
          </w:p>
        </w:tc>
        <w:tc>
          <w:tcPr>
            <w:tcW w:w="2880" w:type="dxa"/>
          </w:tcPr>
          <w:p w14:paraId="6E6192A8" w14:textId="77777777" w:rsidR="00D70CF6" w:rsidRDefault="00A107C2">
            <w:r>
              <w:t>22 Mar 2027</w:t>
            </w:r>
          </w:p>
        </w:tc>
        <w:tc>
          <w:tcPr>
            <w:tcW w:w="2880" w:type="dxa"/>
          </w:tcPr>
          <w:p w14:paraId="30443B48" w14:textId="77777777" w:rsidR="00D70CF6" w:rsidRDefault="00A107C2">
            <w:r>
              <w:t>28 May 2027</w:t>
            </w:r>
          </w:p>
        </w:tc>
      </w:tr>
    </w:tbl>
    <w:p w14:paraId="3CCC6CF3" w14:textId="77777777" w:rsidR="00D70CF6" w:rsidRDefault="00A107C2">
      <w:pPr>
        <w:pStyle w:val="Heading1"/>
      </w:pPr>
      <w:r>
        <w:t>Key Terms and Conditions</w:t>
      </w:r>
    </w:p>
    <w:p w14:paraId="097C849E" w14:textId="77777777" w:rsidR="00D70CF6" w:rsidRDefault="00A107C2">
      <w:pPr>
        <w:pStyle w:val="ListBullet"/>
      </w:pPr>
      <w:r>
        <w:t>Advertisements must be submitted before the stated copy deadline.</w:t>
      </w:r>
    </w:p>
    <w:p w14:paraId="08F848D0" w14:textId="77777777" w:rsidR="00D70CF6" w:rsidRDefault="00A107C2">
      <w:pPr>
        <w:pStyle w:val="ListBullet"/>
      </w:pPr>
      <w:r>
        <w:t>Late submissions may result in the advert not being published while payment remains due.</w:t>
      </w:r>
    </w:p>
    <w:p w14:paraId="380E1BDE" w14:textId="77777777" w:rsidR="00D70CF6" w:rsidRDefault="00A107C2">
      <w:pPr>
        <w:pStyle w:val="ListBullet"/>
      </w:pPr>
      <w:r>
        <w:t>SSERC reserves the right to refuse advertisements that do not align with its educational purpose.</w:t>
      </w:r>
    </w:p>
    <w:p w14:paraId="104FF85B" w14:textId="77777777" w:rsidR="00D70CF6" w:rsidRDefault="00A107C2">
      <w:pPr>
        <w:pStyle w:val="ListBullet"/>
      </w:pPr>
      <w:r>
        <w:t>Advertisers must ensure all content is accurate, legal, and not misleading.</w:t>
      </w:r>
    </w:p>
    <w:p w14:paraId="66F77354" w14:textId="77777777" w:rsidR="00D70CF6" w:rsidRDefault="00A107C2">
      <w:pPr>
        <w:pStyle w:val="Heading1"/>
      </w:pPr>
      <w:r>
        <w:t>Payment Terms</w:t>
      </w:r>
    </w:p>
    <w:p w14:paraId="3E10472A" w14:textId="77777777" w:rsidR="00D70CF6" w:rsidRDefault="00A107C2">
      <w:r>
        <w:t>Payment must be made within seven days of receiving the invoice. Late payments may incur interest in line with the Late Payment of Commercial Debts (Interest) Act 1998.</w:t>
      </w:r>
    </w:p>
    <w:p w14:paraId="1186F472" w14:textId="77777777" w:rsidR="00D70CF6" w:rsidRDefault="00A107C2">
      <w:pPr>
        <w:pStyle w:val="Heading1"/>
      </w:pPr>
      <w:r>
        <w:lastRenderedPageBreak/>
        <w:t>Cancellation Policy</w:t>
      </w:r>
    </w:p>
    <w:p w14:paraId="015C7942" w14:textId="77777777" w:rsidR="00D70CF6" w:rsidRDefault="00A107C2">
      <w:r>
        <w:t>If cancellation occurs 21 days or fewer before the copy deadline, full payment will be due.</w:t>
      </w:r>
    </w:p>
    <w:p w14:paraId="53A48329" w14:textId="77777777" w:rsidR="00D70CF6" w:rsidRDefault="00A107C2">
      <w:pPr>
        <w:pStyle w:val="Heading1"/>
      </w:pPr>
      <w:r>
        <w:t>Privacy</w:t>
      </w:r>
    </w:p>
    <w:p w14:paraId="69489FD9" w14:textId="77777777" w:rsidR="00D70CF6" w:rsidRDefault="00A107C2">
      <w:r>
        <w:t>SSERC collects limited contact and business information in order to administer advertising bookings and invoices. Records are retained for six years and stored securely in accordance with GDPR requirements.</w:t>
      </w:r>
    </w:p>
    <w:sectPr w:rsidR="00D70C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6816546">
    <w:abstractNumId w:val="8"/>
  </w:num>
  <w:num w:numId="2" w16cid:durableId="861699880">
    <w:abstractNumId w:val="6"/>
  </w:num>
  <w:num w:numId="3" w16cid:durableId="1939753268">
    <w:abstractNumId w:val="5"/>
  </w:num>
  <w:num w:numId="4" w16cid:durableId="355237652">
    <w:abstractNumId w:val="4"/>
  </w:num>
  <w:num w:numId="5" w16cid:durableId="13918589">
    <w:abstractNumId w:val="7"/>
  </w:num>
  <w:num w:numId="6" w16cid:durableId="1664704335">
    <w:abstractNumId w:val="3"/>
  </w:num>
  <w:num w:numId="7" w16cid:durableId="22900496">
    <w:abstractNumId w:val="2"/>
  </w:num>
  <w:num w:numId="8" w16cid:durableId="1118253176">
    <w:abstractNumId w:val="1"/>
  </w:num>
  <w:num w:numId="9" w16cid:durableId="12218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27A2"/>
    <w:rsid w:val="00A107C2"/>
    <w:rsid w:val="00AA1D8D"/>
    <w:rsid w:val="00B47730"/>
    <w:rsid w:val="00CB0664"/>
    <w:rsid w:val="00D70C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2B304"/>
  <w14:defaultImageDpi w14:val="300"/>
  <w15:docId w15:val="{403CCF2E-9FBD-46BE-879E-DF5657E5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Alastair</cp:lastModifiedBy>
  <cp:revision>2</cp:revision>
  <dcterms:created xsi:type="dcterms:W3CDTF">2026-03-12T18:06:00Z</dcterms:created>
  <dcterms:modified xsi:type="dcterms:W3CDTF">2026-03-12T18:06:00Z</dcterms:modified>
  <cp:category/>
</cp:coreProperties>
</file>