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CCE61" w14:textId="77777777" w:rsidR="00AF383F" w:rsidRDefault="00AF383F" w:rsidP="00AF383F">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5913B4D0" wp14:editId="640C6308">
                <wp:simplePos x="0" y="0"/>
                <wp:positionH relativeFrom="column">
                  <wp:posOffset>2724150</wp:posOffset>
                </wp:positionH>
                <wp:positionV relativeFrom="paragraph">
                  <wp:posOffset>123825</wp:posOffset>
                </wp:positionV>
                <wp:extent cx="6181725" cy="11525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0" w:history="1">
                              <w:r w:rsidRPr="008C7693">
                                <w:rPr>
                                  <w:rStyle w:val="Hyperlink"/>
                                  <w:rFonts w:eastAsiaTheme="majorEastAsia"/>
                                  <w:sz w:val="18"/>
                                </w:rPr>
                                <w:t>enquiries@sserc.org.uk</w:t>
                              </w:r>
                            </w:hyperlink>
                            <w:r>
                              <w:rPr>
                                <w:sz w:val="18"/>
                              </w:rPr>
                              <w:tab/>
                            </w:r>
                            <w:r>
                              <w:rPr>
                                <w:sz w:val="18"/>
                              </w:rPr>
                              <w:tab/>
                              <w:t xml:space="preserve">web : </w:t>
                            </w:r>
                            <w:hyperlink r:id="rId11"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B4D0" id="_x0000_t202" coordsize="21600,21600" o:spt="202" path="m,l,21600r21600,l21600,xe">
                <v:stroke joinstyle="miter"/>
                <v:path gradientshapeok="t" o:connecttype="rect"/>
              </v:shapetype>
              <v:shape id="Text Box 4" o:spid="_x0000_s1026" type="#_x0000_t202" style="position:absolute;margin-left:214.5pt;margin-top:9.75pt;width:486.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" filled="f" fillcolor="silver" stroked="f">
                <v:textbo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2" w:history="1">
                        <w:r w:rsidRPr="008C7693">
                          <w:rPr>
                            <w:rStyle w:val="Hyperlink"/>
                            <w:rFonts w:eastAsiaTheme="majorEastAsia"/>
                            <w:sz w:val="18"/>
                          </w:rPr>
                          <w:t>enquiries@sserc.org.uk</w:t>
                        </w:r>
                      </w:hyperlink>
                      <w:r>
                        <w:rPr>
                          <w:sz w:val="18"/>
                        </w:rPr>
                        <w:tab/>
                      </w:r>
                      <w:r>
                        <w:rPr>
                          <w:sz w:val="18"/>
                        </w:rPr>
                        <w:tab/>
                        <w:t xml:space="preserve">web : </w:t>
                      </w:r>
                      <w:hyperlink r:id="rId13"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v:textbox>
              </v:shape>
            </w:pict>
          </mc:Fallback>
        </mc:AlternateContent>
      </w:r>
      <w:r>
        <w:rPr>
          <w:noProof/>
          <w:sz w:val="24"/>
        </w:rPr>
        <w:drawing>
          <wp:inline distT="0" distB="0" distL="0" distR="0" wp14:anchorId="4A401115" wp14:editId="16DC310B">
            <wp:extent cx="2257425" cy="895350"/>
            <wp:effectExtent l="0" t="0" r="0" b="0"/>
            <wp:docPr id="3" name="Picture 3"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128619AF" w14:textId="77777777" w:rsidR="00AF383F" w:rsidRDefault="00AF383F" w:rsidP="00AF383F">
      <w:pPr>
        <w:pStyle w:val="Heading1"/>
        <w:rPr>
          <w:sz w:val="24"/>
        </w:rPr>
      </w:pPr>
    </w:p>
    <w:p w14:paraId="3D941C20" w14:textId="77777777" w:rsidR="00AF383F" w:rsidRDefault="00AF383F" w:rsidP="00AF383F">
      <w:pPr>
        <w:pStyle w:val="Heading1"/>
        <w:rPr>
          <w:sz w:val="24"/>
        </w:rPr>
      </w:pPr>
    </w:p>
    <w:p w14:paraId="7607D163" w14:textId="77777777" w:rsidR="00AF383F" w:rsidRDefault="00AF383F" w:rsidP="00AF383F">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F4431D" w14:paraId="75C4DA97" w14:textId="77777777" w:rsidTr="00FA0129">
        <w:tc>
          <w:tcPr>
            <w:tcW w:w="3085" w:type="dxa"/>
          </w:tcPr>
          <w:p w14:paraId="24F8B409" w14:textId="77777777" w:rsidR="00F4431D" w:rsidRDefault="00F4431D" w:rsidP="00F4431D">
            <w:pPr>
              <w:pStyle w:val="Heading6"/>
            </w:pPr>
            <w:r>
              <w:t>Activity assessed</w:t>
            </w:r>
          </w:p>
        </w:tc>
        <w:tc>
          <w:tcPr>
            <w:tcW w:w="5843" w:type="dxa"/>
          </w:tcPr>
          <w:p w14:paraId="741F747D" w14:textId="138F55F3" w:rsidR="00F4431D" w:rsidRDefault="005030EB" w:rsidP="00F4431D">
            <w:r>
              <w:t>I</w:t>
            </w:r>
            <w:r w:rsidR="00DB6C7D">
              <w:t>ron</w:t>
            </w:r>
            <w:r>
              <w:t xml:space="preserve"> </w:t>
            </w:r>
            <w:r w:rsidR="00E701A6">
              <w:t>/ Sulphur reaction</w:t>
            </w:r>
          </w:p>
        </w:tc>
      </w:tr>
      <w:tr w:rsidR="00F4431D" w14:paraId="3F2923F4" w14:textId="77777777" w:rsidTr="00FA0129">
        <w:tc>
          <w:tcPr>
            <w:tcW w:w="3085" w:type="dxa"/>
          </w:tcPr>
          <w:p w14:paraId="1C02C460" w14:textId="77777777" w:rsidR="00F4431D" w:rsidRDefault="00F4431D" w:rsidP="00F4431D">
            <w:pPr>
              <w:rPr>
                <w:i/>
                <w:iCs/>
              </w:rPr>
            </w:pPr>
            <w:r>
              <w:rPr>
                <w:i/>
                <w:iCs/>
              </w:rPr>
              <w:t>Date of assessment</w:t>
            </w:r>
          </w:p>
        </w:tc>
        <w:tc>
          <w:tcPr>
            <w:tcW w:w="5843" w:type="dxa"/>
          </w:tcPr>
          <w:p w14:paraId="3134518C" w14:textId="22D47B52" w:rsidR="00F4431D" w:rsidRDefault="00F4431D" w:rsidP="00F4431D">
            <w:r>
              <w:t>30</w:t>
            </w:r>
            <w:r w:rsidRPr="00D70363">
              <w:rPr>
                <w:vertAlign w:val="superscript"/>
              </w:rPr>
              <w:t>th</w:t>
            </w:r>
            <w:r>
              <w:t xml:space="preserve"> June 2020</w:t>
            </w:r>
          </w:p>
        </w:tc>
      </w:tr>
      <w:tr w:rsidR="00F4431D" w14:paraId="3A7FFB99" w14:textId="77777777" w:rsidTr="00FA0129">
        <w:tc>
          <w:tcPr>
            <w:tcW w:w="3085" w:type="dxa"/>
          </w:tcPr>
          <w:p w14:paraId="2855150B" w14:textId="77777777" w:rsidR="00F4431D" w:rsidRDefault="00F4431D" w:rsidP="00F4431D">
            <w:pPr>
              <w:rPr>
                <w:i/>
                <w:iCs/>
              </w:rPr>
            </w:pPr>
            <w:r>
              <w:rPr>
                <w:i/>
                <w:iCs/>
              </w:rPr>
              <w:t>Date of review (</w:t>
            </w:r>
            <w:r w:rsidRPr="00692100">
              <w:rPr>
                <w:b/>
                <w:i/>
                <w:iCs/>
              </w:rPr>
              <w:t>Step 5</w:t>
            </w:r>
            <w:r>
              <w:rPr>
                <w:i/>
                <w:iCs/>
              </w:rPr>
              <w:t>)</w:t>
            </w:r>
          </w:p>
        </w:tc>
        <w:tc>
          <w:tcPr>
            <w:tcW w:w="5843" w:type="dxa"/>
          </w:tcPr>
          <w:p w14:paraId="631512D2" w14:textId="77777777" w:rsidR="00F4431D" w:rsidRDefault="00F4431D" w:rsidP="00F4431D">
            <w:pPr>
              <w:pStyle w:val="Salutation"/>
            </w:pPr>
          </w:p>
        </w:tc>
      </w:tr>
      <w:tr w:rsidR="00F4431D" w14:paraId="430CE568" w14:textId="77777777" w:rsidTr="00FA0129">
        <w:tc>
          <w:tcPr>
            <w:tcW w:w="3085" w:type="dxa"/>
          </w:tcPr>
          <w:p w14:paraId="5AE3F958" w14:textId="77777777" w:rsidR="00F4431D" w:rsidRDefault="00F4431D" w:rsidP="00F4431D">
            <w:pPr>
              <w:rPr>
                <w:i/>
                <w:iCs/>
              </w:rPr>
            </w:pPr>
            <w:r>
              <w:rPr>
                <w:i/>
                <w:iCs/>
              </w:rPr>
              <w:t>School</w:t>
            </w:r>
          </w:p>
        </w:tc>
        <w:tc>
          <w:tcPr>
            <w:tcW w:w="5843" w:type="dxa"/>
          </w:tcPr>
          <w:p w14:paraId="76E179DC" w14:textId="77777777" w:rsidR="00F4431D" w:rsidRDefault="00F4431D" w:rsidP="00F4431D">
            <w:pPr>
              <w:pStyle w:val="Salutation"/>
            </w:pPr>
          </w:p>
        </w:tc>
      </w:tr>
      <w:tr w:rsidR="00F4431D" w14:paraId="5C5A9857" w14:textId="77777777" w:rsidTr="00FA0129">
        <w:tc>
          <w:tcPr>
            <w:tcW w:w="3085" w:type="dxa"/>
          </w:tcPr>
          <w:p w14:paraId="60C9A39E" w14:textId="77777777" w:rsidR="00F4431D" w:rsidRDefault="00F4431D" w:rsidP="00F4431D">
            <w:pPr>
              <w:rPr>
                <w:i/>
                <w:iCs/>
              </w:rPr>
            </w:pPr>
            <w:r>
              <w:rPr>
                <w:i/>
                <w:iCs/>
              </w:rPr>
              <w:t>Department</w:t>
            </w:r>
          </w:p>
        </w:tc>
        <w:tc>
          <w:tcPr>
            <w:tcW w:w="5843" w:type="dxa"/>
          </w:tcPr>
          <w:p w14:paraId="3296C043" w14:textId="77777777" w:rsidR="00F4431D" w:rsidRDefault="00F4431D" w:rsidP="00F4431D"/>
        </w:tc>
      </w:tr>
    </w:tbl>
    <w:p w14:paraId="1A931ED2"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81"/>
        <w:gridCol w:w="2835"/>
        <w:gridCol w:w="4932"/>
        <w:gridCol w:w="993"/>
        <w:gridCol w:w="141"/>
        <w:gridCol w:w="709"/>
        <w:gridCol w:w="284"/>
        <w:gridCol w:w="708"/>
      </w:tblGrid>
      <w:tr w:rsidR="00207672" w14:paraId="3BEABC81" w14:textId="77777777" w:rsidTr="00615F7E">
        <w:trPr>
          <w:tblHeader/>
        </w:trPr>
        <w:tc>
          <w:tcPr>
            <w:tcW w:w="3681" w:type="dxa"/>
            <w:shd w:val="clear" w:color="auto" w:fill="E36C0A" w:themeFill="accent6" w:themeFillShade="BF"/>
          </w:tcPr>
          <w:p w14:paraId="1B4F604B" w14:textId="77777777" w:rsidR="00207672" w:rsidRDefault="00207672" w:rsidP="005A2179">
            <w:pPr>
              <w:jc w:val="center"/>
              <w:rPr>
                <w:sz w:val="28"/>
              </w:rPr>
            </w:pPr>
            <w:r>
              <w:rPr>
                <w:sz w:val="28"/>
              </w:rPr>
              <w:t>Step 1</w:t>
            </w:r>
          </w:p>
        </w:tc>
        <w:tc>
          <w:tcPr>
            <w:tcW w:w="2835" w:type="dxa"/>
            <w:shd w:val="clear" w:color="auto" w:fill="E36C0A" w:themeFill="accent6" w:themeFillShade="BF"/>
          </w:tcPr>
          <w:p w14:paraId="4F2DD897" w14:textId="77777777" w:rsidR="00207672" w:rsidRDefault="00207672" w:rsidP="005A2179">
            <w:pPr>
              <w:jc w:val="center"/>
              <w:rPr>
                <w:sz w:val="28"/>
              </w:rPr>
            </w:pPr>
            <w:r>
              <w:rPr>
                <w:sz w:val="28"/>
              </w:rPr>
              <w:t>Step 2</w:t>
            </w:r>
          </w:p>
        </w:tc>
        <w:tc>
          <w:tcPr>
            <w:tcW w:w="4932" w:type="dxa"/>
            <w:shd w:val="clear" w:color="auto" w:fill="E36C0A" w:themeFill="accent6" w:themeFillShade="BF"/>
          </w:tcPr>
          <w:p w14:paraId="2CDAED4D" w14:textId="77777777" w:rsidR="00207672" w:rsidRDefault="00207672" w:rsidP="005A2179">
            <w:pPr>
              <w:jc w:val="center"/>
              <w:rPr>
                <w:sz w:val="28"/>
              </w:rPr>
            </w:pPr>
            <w:r>
              <w:rPr>
                <w:sz w:val="28"/>
              </w:rPr>
              <w:t>Step 3</w:t>
            </w:r>
          </w:p>
        </w:tc>
        <w:tc>
          <w:tcPr>
            <w:tcW w:w="2835" w:type="dxa"/>
            <w:gridSpan w:val="5"/>
            <w:shd w:val="clear" w:color="auto" w:fill="E36C0A" w:themeFill="accent6" w:themeFillShade="BF"/>
          </w:tcPr>
          <w:p w14:paraId="65CE71A5" w14:textId="77777777" w:rsidR="00207672" w:rsidRDefault="00207672" w:rsidP="005A2179">
            <w:pPr>
              <w:jc w:val="center"/>
              <w:rPr>
                <w:sz w:val="28"/>
              </w:rPr>
            </w:pPr>
            <w:r>
              <w:rPr>
                <w:sz w:val="28"/>
              </w:rPr>
              <w:t>Step 4</w:t>
            </w:r>
          </w:p>
        </w:tc>
      </w:tr>
      <w:tr w:rsidR="00207672" w14:paraId="7447D4CB" w14:textId="77777777" w:rsidTr="00615F7E">
        <w:trPr>
          <w:tblHeader/>
        </w:trPr>
        <w:tc>
          <w:tcPr>
            <w:tcW w:w="3681" w:type="dxa"/>
            <w:vMerge w:val="restart"/>
            <w:shd w:val="clear" w:color="auto" w:fill="FABF8F" w:themeFill="accent6" w:themeFillTint="99"/>
          </w:tcPr>
          <w:p w14:paraId="374E7A7A" w14:textId="77777777" w:rsidR="00207672" w:rsidRDefault="00207672" w:rsidP="005A2179">
            <w:pPr>
              <w:pStyle w:val="Salutation"/>
              <w:rPr>
                <w:sz w:val="28"/>
              </w:rPr>
            </w:pPr>
            <w:r>
              <w:rPr>
                <w:i/>
                <w:iCs/>
              </w:rPr>
              <w:t>List Significant hazards here:</w:t>
            </w:r>
          </w:p>
        </w:tc>
        <w:tc>
          <w:tcPr>
            <w:tcW w:w="2835" w:type="dxa"/>
            <w:vMerge w:val="restart"/>
            <w:shd w:val="clear" w:color="auto" w:fill="FABF8F" w:themeFill="accent6" w:themeFillTint="99"/>
          </w:tcPr>
          <w:p w14:paraId="58BD7D73" w14:textId="77777777" w:rsidR="00207672" w:rsidRDefault="00207672" w:rsidP="005A2179">
            <w:pPr>
              <w:rPr>
                <w:sz w:val="28"/>
              </w:rPr>
            </w:pPr>
            <w:r>
              <w:rPr>
                <w:i/>
                <w:iCs/>
              </w:rPr>
              <w:t>Who might be harmed and how?</w:t>
            </w:r>
          </w:p>
        </w:tc>
        <w:tc>
          <w:tcPr>
            <w:tcW w:w="4932" w:type="dxa"/>
            <w:vMerge w:val="restart"/>
            <w:shd w:val="clear" w:color="auto" w:fill="FABF8F" w:themeFill="accent6" w:themeFillTint="99"/>
          </w:tcPr>
          <w:p w14:paraId="78828A87" w14:textId="77777777" w:rsidR="00207672" w:rsidRDefault="00207672" w:rsidP="005A2179">
            <w:pPr>
              <w:rPr>
                <w:i/>
                <w:iCs/>
              </w:rPr>
            </w:pPr>
            <w:r>
              <w:rPr>
                <w:i/>
                <w:iCs/>
              </w:rPr>
              <w:t>What are you already doing?</w:t>
            </w:r>
          </w:p>
          <w:p w14:paraId="43095082" w14:textId="77777777" w:rsidR="00207672" w:rsidRPr="00B22648" w:rsidRDefault="00207672" w:rsidP="005A2179">
            <w:pPr>
              <w:rPr>
                <w:i/>
                <w:iCs/>
              </w:rPr>
            </w:pPr>
            <w:r>
              <w:rPr>
                <w:i/>
                <w:iCs/>
              </w:rPr>
              <w:t>What further action is needed?</w:t>
            </w:r>
          </w:p>
        </w:tc>
        <w:tc>
          <w:tcPr>
            <w:tcW w:w="2835" w:type="dxa"/>
            <w:gridSpan w:val="5"/>
            <w:shd w:val="clear" w:color="auto" w:fill="FABF8F" w:themeFill="accent6" w:themeFillTint="99"/>
          </w:tcPr>
          <w:p w14:paraId="5762619E" w14:textId="77777777" w:rsidR="00207672" w:rsidRPr="00B22648" w:rsidRDefault="00207672" w:rsidP="005A2179">
            <w:pPr>
              <w:jc w:val="center"/>
              <w:rPr>
                <w:i/>
                <w:iCs/>
              </w:rPr>
            </w:pPr>
            <w:r w:rsidRPr="00B22648">
              <w:rPr>
                <w:i/>
                <w:iCs/>
              </w:rPr>
              <w:t>Actions</w:t>
            </w:r>
          </w:p>
        </w:tc>
      </w:tr>
      <w:tr w:rsidR="00207672" w14:paraId="79A122C5" w14:textId="77777777" w:rsidTr="00615F7E">
        <w:trPr>
          <w:trHeight w:val="344"/>
        </w:trPr>
        <w:tc>
          <w:tcPr>
            <w:tcW w:w="3681" w:type="dxa"/>
            <w:vMerge/>
            <w:shd w:val="clear" w:color="auto" w:fill="FABF8F" w:themeFill="accent6" w:themeFillTint="99"/>
          </w:tcPr>
          <w:p w14:paraId="02BB6D41" w14:textId="77777777" w:rsidR="00207672" w:rsidRDefault="00207672" w:rsidP="005A2179">
            <w:pPr>
              <w:pStyle w:val="Salutation"/>
              <w:rPr>
                <w:i/>
                <w:iCs/>
              </w:rPr>
            </w:pPr>
          </w:p>
        </w:tc>
        <w:tc>
          <w:tcPr>
            <w:tcW w:w="2835" w:type="dxa"/>
            <w:vMerge/>
            <w:shd w:val="clear" w:color="auto" w:fill="FABF8F" w:themeFill="accent6" w:themeFillTint="99"/>
          </w:tcPr>
          <w:p w14:paraId="6B5B13AD" w14:textId="77777777" w:rsidR="00207672" w:rsidRDefault="00207672" w:rsidP="005A2179">
            <w:pPr>
              <w:rPr>
                <w:i/>
                <w:iCs/>
              </w:rPr>
            </w:pPr>
          </w:p>
        </w:tc>
        <w:tc>
          <w:tcPr>
            <w:tcW w:w="4932" w:type="dxa"/>
            <w:vMerge/>
            <w:shd w:val="clear" w:color="auto" w:fill="FABF8F" w:themeFill="accent6" w:themeFillTint="99"/>
          </w:tcPr>
          <w:p w14:paraId="200ED57A" w14:textId="77777777" w:rsidR="00207672" w:rsidRDefault="00207672" w:rsidP="005A2179">
            <w:pPr>
              <w:rPr>
                <w:i/>
                <w:iCs/>
              </w:rPr>
            </w:pPr>
          </w:p>
        </w:tc>
        <w:tc>
          <w:tcPr>
            <w:tcW w:w="1134" w:type="dxa"/>
            <w:gridSpan w:val="2"/>
            <w:shd w:val="clear" w:color="auto" w:fill="FABF8F" w:themeFill="accent6" w:themeFillTint="99"/>
          </w:tcPr>
          <w:p w14:paraId="74207D03" w14:textId="77777777" w:rsidR="00207672" w:rsidRDefault="00207672" w:rsidP="005A2179">
            <w:pPr>
              <w:rPr>
                <w:i/>
                <w:iCs/>
              </w:rPr>
            </w:pPr>
            <w:r>
              <w:rPr>
                <w:i/>
                <w:iCs/>
              </w:rPr>
              <w:t>by whom?</w:t>
            </w:r>
          </w:p>
        </w:tc>
        <w:tc>
          <w:tcPr>
            <w:tcW w:w="993" w:type="dxa"/>
            <w:gridSpan w:val="2"/>
            <w:shd w:val="clear" w:color="auto" w:fill="FABF8F" w:themeFill="accent6" w:themeFillTint="99"/>
          </w:tcPr>
          <w:p w14:paraId="1D68D82C" w14:textId="77777777" w:rsidR="00207672" w:rsidRDefault="00207672" w:rsidP="005A2179">
            <w:pPr>
              <w:rPr>
                <w:i/>
                <w:iCs/>
              </w:rPr>
            </w:pPr>
            <w:r>
              <w:rPr>
                <w:i/>
                <w:iCs/>
              </w:rPr>
              <w:t>Due date</w:t>
            </w:r>
          </w:p>
        </w:tc>
        <w:tc>
          <w:tcPr>
            <w:tcW w:w="708" w:type="dxa"/>
            <w:shd w:val="clear" w:color="auto" w:fill="FABF8F" w:themeFill="accent6" w:themeFillTint="99"/>
          </w:tcPr>
          <w:p w14:paraId="5A39E208" w14:textId="77777777" w:rsidR="00207672" w:rsidRDefault="00207672" w:rsidP="005A2179">
            <w:pPr>
              <w:rPr>
                <w:i/>
                <w:iCs/>
              </w:rPr>
            </w:pPr>
            <w:r>
              <w:rPr>
                <w:i/>
                <w:iCs/>
              </w:rPr>
              <w:t>Done</w:t>
            </w:r>
          </w:p>
        </w:tc>
      </w:tr>
      <w:tr w:rsidR="00E701A6" w14:paraId="379E4865" w14:textId="77777777" w:rsidTr="00615F7E">
        <w:tblPrEx>
          <w:tblCellMar>
            <w:left w:w="108" w:type="dxa"/>
            <w:right w:w="108" w:type="dxa"/>
          </w:tblCellMar>
        </w:tblPrEx>
        <w:trPr>
          <w:trHeight w:val="709"/>
        </w:trPr>
        <w:tc>
          <w:tcPr>
            <w:tcW w:w="3681" w:type="dxa"/>
          </w:tcPr>
          <w:p w14:paraId="54014238" w14:textId="6730F6A6" w:rsidR="00E701A6" w:rsidRDefault="00E701A6" w:rsidP="00E701A6">
            <w:r>
              <w:t xml:space="preserve">Iron is of no significant </w:t>
            </w:r>
            <w:proofErr w:type="gramStart"/>
            <w:r>
              <w:t>hazard</w:t>
            </w:r>
            <w:proofErr w:type="gramEnd"/>
            <w:r>
              <w:t xml:space="preserve"> but sulphur can be an irritant. The mix has the hazards of its components.</w:t>
            </w:r>
          </w:p>
        </w:tc>
        <w:tc>
          <w:tcPr>
            <w:tcW w:w="2835" w:type="dxa"/>
          </w:tcPr>
          <w:p w14:paraId="4F563389" w14:textId="5C731C0A" w:rsidR="00E701A6" w:rsidRDefault="00E701A6" w:rsidP="00E701A6">
            <w:r>
              <w:t xml:space="preserve">Technician or pupils, preparing reaction mix. </w:t>
            </w:r>
          </w:p>
        </w:tc>
        <w:tc>
          <w:tcPr>
            <w:tcW w:w="4932" w:type="dxa"/>
          </w:tcPr>
          <w:p w14:paraId="3903FCC4" w14:textId="47078E63" w:rsidR="00E701A6" w:rsidRDefault="00E701A6" w:rsidP="00E701A6">
            <w:r>
              <w:t>Take care to avoid contact with hands. Wear gloves if skin is sensitive.</w:t>
            </w:r>
          </w:p>
        </w:tc>
        <w:tc>
          <w:tcPr>
            <w:tcW w:w="993" w:type="dxa"/>
          </w:tcPr>
          <w:p w14:paraId="6904B78E" w14:textId="77777777" w:rsidR="00E701A6" w:rsidRDefault="00E701A6" w:rsidP="00E701A6"/>
        </w:tc>
        <w:tc>
          <w:tcPr>
            <w:tcW w:w="850" w:type="dxa"/>
            <w:gridSpan w:val="2"/>
          </w:tcPr>
          <w:p w14:paraId="75029FF2" w14:textId="77777777" w:rsidR="00E701A6" w:rsidRDefault="00E701A6" w:rsidP="00E701A6"/>
        </w:tc>
        <w:tc>
          <w:tcPr>
            <w:tcW w:w="992" w:type="dxa"/>
            <w:gridSpan w:val="2"/>
          </w:tcPr>
          <w:p w14:paraId="00BEED32" w14:textId="77777777" w:rsidR="00E701A6" w:rsidRDefault="00E701A6" w:rsidP="00E701A6"/>
        </w:tc>
      </w:tr>
      <w:tr w:rsidR="00A760A2" w14:paraId="2F036093" w14:textId="77777777" w:rsidTr="00615F7E">
        <w:tblPrEx>
          <w:tblCellMar>
            <w:left w:w="108" w:type="dxa"/>
            <w:right w:w="108" w:type="dxa"/>
          </w:tblCellMar>
        </w:tblPrEx>
        <w:trPr>
          <w:trHeight w:val="709"/>
        </w:trPr>
        <w:tc>
          <w:tcPr>
            <w:tcW w:w="3681" w:type="dxa"/>
          </w:tcPr>
          <w:p w14:paraId="28A9F0C6" w14:textId="03AA612A" w:rsidR="00A760A2" w:rsidRDefault="00A760A2" w:rsidP="00E701A6">
            <w:r>
              <w:t xml:space="preserve">Sulphur vapour can </w:t>
            </w:r>
            <w:r w:rsidR="004B38EB">
              <w:t>burn to produce toxic sulphur dioxide.</w:t>
            </w:r>
          </w:p>
        </w:tc>
        <w:tc>
          <w:tcPr>
            <w:tcW w:w="2835" w:type="dxa"/>
          </w:tcPr>
          <w:p w14:paraId="1A86A01E" w14:textId="5045A149" w:rsidR="00A760A2" w:rsidRDefault="004B38EB" w:rsidP="00E701A6">
            <w:r>
              <w:t>Pupils / teacher by inhalation</w:t>
            </w:r>
          </w:p>
        </w:tc>
        <w:tc>
          <w:tcPr>
            <w:tcW w:w="4932" w:type="dxa"/>
          </w:tcPr>
          <w:p w14:paraId="39B95D9D" w14:textId="32EC6DE5" w:rsidR="00A760A2" w:rsidRDefault="004B38EB" w:rsidP="00E701A6">
            <w:r>
              <w:t xml:space="preserve">Placing a plug of mineral wool in the top of the test tube will prevent </w:t>
            </w:r>
            <w:r w:rsidR="00FA2AAF">
              <w:t>sulphur fumes escaping and catching fire.</w:t>
            </w:r>
          </w:p>
        </w:tc>
        <w:tc>
          <w:tcPr>
            <w:tcW w:w="993" w:type="dxa"/>
          </w:tcPr>
          <w:p w14:paraId="17492B27" w14:textId="77777777" w:rsidR="00A760A2" w:rsidRDefault="00A760A2" w:rsidP="00E701A6"/>
        </w:tc>
        <w:tc>
          <w:tcPr>
            <w:tcW w:w="850" w:type="dxa"/>
            <w:gridSpan w:val="2"/>
          </w:tcPr>
          <w:p w14:paraId="6D0925D9" w14:textId="77777777" w:rsidR="00A760A2" w:rsidRDefault="00A760A2" w:rsidP="00E701A6"/>
        </w:tc>
        <w:tc>
          <w:tcPr>
            <w:tcW w:w="992" w:type="dxa"/>
            <w:gridSpan w:val="2"/>
          </w:tcPr>
          <w:p w14:paraId="12FDD5E5" w14:textId="77777777" w:rsidR="00A760A2" w:rsidRDefault="00A760A2" w:rsidP="00E701A6"/>
        </w:tc>
      </w:tr>
      <w:tr w:rsidR="00E701A6" w14:paraId="089BAD21" w14:textId="77777777" w:rsidTr="00487ED7">
        <w:tblPrEx>
          <w:tblCellMar>
            <w:left w:w="108" w:type="dxa"/>
            <w:right w:w="108" w:type="dxa"/>
          </w:tblCellMar>
        </w:tblPrEx>
        <w:trPr>
          <w:trHeight w:val="709"/>
        </w:trPr>
        <w:tc>
          <w:tcPr>
            <w:tcW w:w="3681" w:type="dxa"/>
          </w:tcPr>
          <w:p w14:paraId="38B5F1B1" w14:textId="77777777" w:rsidR="00E701A6" w:rsidRDefault="00E701A6" w:rsidP="00487ED7">
            <w:r>
              <w:t>Using a hammer to break open the test tube can lead to shards of broken glass flying round.</w:t>
            </w:r>
          </w:p>
        </w:tc>
        <w:tc>
          <w:tcPr>
            <w:tcW w:w="2835" w:type="dxa"/>
          </w:tcPr>
          <w:p w14:paraId="3705D949" w14:textId="77777777" w:rsidR="00E701A6" w:rsidRDefault="00E701A6" w:rsidP="00487ED7">
            <w:r>
              <w:t>Pupils/teacher when breaking open tubes to get reaction mix</w:t>
            </w:r>
          </w:p>
        </w:tc>
        <w:tc>
          <w:tcPr>
            <w:tcW w:w="4932" w:type="dxa"/>
          </w:tcPr>
          <w:p w14:paraId="766D9205" w14:textId="77777777" w:rsidR="00E701A6" w:rsidRDefault="00E701A6" w:rsidP="00487ED7">
            <w:r>
              <w:t>Wear eye protection. Exercise care. If the tube is wrapped in a cloth or paper towel before being struck, any particles of flying glass will be kept to a minimum.</w:t>
            </w:r>
          </w:p>
        </w:tc>
        <w:tc>
          <w:tcPr>
            <w:tcW w:w="993" w:type="dxa"/>
          </w:tcPr>
          <w:p w14:paraId="6487B51D" w14:textId="77777777" w:rsidR="00E701A6" w:rsidRDefault="00E701A6" w:rsidP="00487ED7"/>
        </w:tc>
        <w:tc>
          <w:tcPr>
            <w:tcW w:w="850" w:type="dxa"/>
            <w:gridSpan w:val="2"/>
          </w:tcPr>
          <w:p w14:paraId="453BF792" w14:textId="77777777" w:rsidR="00E701A6" w:rsidRDefault="00E701A6" w:rsidP="00487ED7"/>
        </w:tc>
        <w:tc>
          <w:tcPr>
            <w:tcW w:w="992" w:type="dxa"/>
            <w:gridSpan w:val="2"/>
          </w:tcPr>
          <w:p w14:paraId="2895744E" w14:textId="77777777" w:rsidR="00E701A6" w:rsidRDefault="00E701A6" w:rsidP="00487ED7"/>
        </w:tc>
      </w:tr>
      <w:tr w:rsidR="00E701A6" w14:paraId="064DE653" w14:textId="77777777" w:rsidTr="00615F7E">
        <w:tblPrEx>
          <w:tblCellMar>
            <w:left w:w="108" w:type="dxa"/>
            <w:right w:w="108" w:type="dxa"/>
          </w:tblCellMar>
        </w:tblPrEx>
        <w:trPr>
          <w:trHeight w:val="709"/>
        </w:trPr>
        <w:tc>
          <w:tcPr>
            <w:tcW w:w="3681" w:type="dxa"/>
          </w:tcPr>
          <w:p w14:paraId="07EE553E" w14:textId="77777777" w:rsidR="00E701A6" w:rsidRDefault="00E701A6" w:rsidP="00E701A6">
            <w:r>
              <w:t>Potassium manganate VII is a powerful oxidiser and is harmful if swallowed.</w:t>
            </w:r>
          </w:p>
          <w:p w14:paraId="5EC61687" w14:textId="51A5EBCC" w:rsidR="00E701A6" w:rsidRDefault="00E701A6" w:rsidP="00E701A6">
            <w:r>
              <w:t>The 0.0002 M</w:t>
            </w:r>
            <w:r w:rsidR="00E52287">
              <w:t xml:space="preserve">ol </w:t>
            </w:r>
            <w:r w:rsidR="00E52287" w:rsidRPr="00066C49">
              <w:t>l</w:t>
            </w:r>
            <w:r w:rsidR="00E52287" w:rsidRPr="00066C49">
              <w:rPr>
                <w:vertAlign w:val="superscript"/>
              </w:rPr>
              <w:t>-1</w:t>
            </w:r>
            <w:r w:rsidR="00E52287">
              <w:t xml:space="preserve"> </w:t>
            </w:r>
            <w:r>
              <w:t>solution is of no significant hazard.</w:t>
            </w:r>
          </w:p>
        </w:tc>
        <w:tc>
          <w:tcPr>
            <w:tcW w:w="2835" w:type="dxa"/>
          </w:tcPr>
          <w:p w14:paraId="705B2310" w14:textId="50CDA718" w:rsidR="00E701A6" w:rsidRDefault="00E701A6" w:rsidP="00E701A6">
            <w:r>
              <w:t>Technician, making up solutions.</w:t>
            </w:r>
          </w:p>
        </w:tc>
        <w:tc>
          <w:tcPr>
            <w:tcW w:w="4932" w:type="dxa"/>
          </w:tcPr>
          <w:p w14:paraId="7C901264" w14:textId="77777777" w:rsidR="00E701A6" w:rsidRDefault="00E701A6" w:rsidP="00E701A6">
            <w:r>
              <w:t xml:space="preserve">Wear eye protection and possibly gloves (to avoid staining of skin). Avoid raising dust. </w:t>
            </w:r>
          </w:p>
          <w:p w14:paraId="735D1DD6" w14:textId="3E1E7BE4" w:rsidR="00E701A6" w:rsidRDefault="00E701A6" w:rsidP="00E701A6">
            <w:r>
              <w:t>Keep away from combustible materials</w:t>
            </w:r>
          </w:p>
        </w:tc>
        <w:tc>
          <w:tcPr>
            <w:tcW w:w="993" w:type="dxa"/>
          </w:tcPr>
          <w:p w14:paraId="564E92DA" w14:textId="77777777" w:rsidR="00E701A6" w:rsidRDefault="00E701A6" w:rsidP="00E701A6"/>
        </w:tc>
        <w:tc>
          <w:tcPr>
            <w:tcW w:w="850" w:type="dxa"/>
            <w:gridSpan w:val="2"/>
          </w:tcPr>
          <w:p w14:paraId="1F6495A1" w14:textId="77777777" w:rsidR="00E701A6" w:rsidRDefault="00E701A6" w:rsidP="00E701A6"/>
        </w:tc>
        <w:tc>
          <w:tcPr>
            <w:tcW w:w="992" w:type="dxa"/>
            <w:gridSpan w:val="2"/>
          </w:tcPr>
          <w:p w14:paraId="70CD128F" w14:textId="77777777" w:rsidR="00E701A6" w:rsidRDefault="00E701A6" w:rsidP="00E701A6"/>
        </w:tc>
      </w:tr>
      <w:tr w:rsidR="00E701A6" w14:paraId="58BA09B4" w14:textId="77777777" w:rsidTr="00615F7E">
        <w:tblPrEx>
          <w:tblCellMar>
            <w:left w:w="108" w:type="dxa"/>
            <w:right w:w="108" w:type="dxa"/>
          </w:tblCellMar>
        </w:tblPrEx>
        <w:trPr>
          <w:trHeight w:val="709"/>
        </w:trPr>
        <w:tc>
          <w:tcPr>
            <w:tcW w:w="3681" w:type="dxa"/>
          </w:tcPr>
          <w:p w14:paraId="3283B385" w14:textId="79D70F6F" w:rsidR="00E701A6" w:rsidRDefault="00E701A6" w:rsidP="00E701A6">
            <w:r>
              <w:t>Copper II sulphate is harmful by ingestion and irritant to skin</w:t>
            </w:r>
            <w:r w:rsidR="00D5254B">
              <w:t xml:space="preserve"> </w:t>
            </w:r>
            <w:r>
              <w:t>and respiratory system</w:t>
            </w:r>
            <w:r w:rsidR="00D5254B">
              <w:t xml:space="preserve"> and causes serious eye damage.</w:t>
            </w:r>
          </w:p>
          <w:p w14:paraId="5879EF4B" w14:textId="1125077A" w:rsidR="00E701A6" w:rsidRDefault="00E701A6" w:rsidP="00E701A6">
            <w:r>
              <w:t>The 0.01M</w:t>
            </w:r>
            <w:r w:rsidR="00E52287">
              <w:t xml:space="preserve">ol </w:t>
            </w:r>
            <w:r w:rsidR="00E52287" w:rsidRPr="00066C49">
              <w:t>l</w:t>
            </w:r>
            <w:r w:rsidR="00E52287" w:rsidRPr="00066C49">
              <w:rPr>
                <w:vertAlign w:val="superscript"/>
              </w:rPr>
              <w:t>-1</w:t>
            </w:r>
            <w:r w:rsidR="00E52287">
              <w:t xml:space="preserve"> </w:t>
            </w:r>
            <w:r>
              <w:t>solution is of no significant hazard</w:t>
            </w:r>
          </w:p>
        </w:tc>
        <w:tc>
          <w:tcPr>
            <w:tcW w:w="2835" w:type="dxa"/>
          </w:tcPr>
          <w:p w14:paraId="58DDFD0A" w14:textId="41EA095B" w:rsidR="00E701A6" w:rsidRDefault="00E701A6" w:rsidP="00E701A6">
            <w:r>
              <w:t>Technician, making up solutions.</w:t>
            </w:r>
          </w:p>
        </w:tc>
        <w:tc>
          <w:tcPr>
            <w:tcW w:w="4932" w:type="dxa"/>
          </w:tcPr>
          <w:p w14:paraId="57415EF2" w14:textId="4EA64A3D" w:rsidR="00E701A6" w:rsidRDefault="00E701A6" w:rsidP="00E701A6">
            <w:r>
              <w:t xml:space="preserve">Wear </w:t>
            </w:r>
            <w:r w:rsidR="00D5254B">
              <w:t>goggles (EN 166 3)</w:t>
            </w:r>
            <w:r>
              <w:t xml:space="preserve"> and possibly gloves. Avoid raising dust.</w:t>
            </w:r>
          </w:p>
        </w:tc>
        <w:tc>
          <w:tcPr>
            <w:tcW w:w="993" w:type="dxa"/>
          </w:tcPr>
          <w:p w14:paraId="01E43C7D" w14:textId="77777777" w:rsidR="00E701A6" w:rsidRDefault="00E701A6" w:rsidP="00E701A6"/>
        </w:tc>
        <w:tc>
          <w:tcPr>
            <w:tcW w:w="850" w:type="dxa"/>
            <w:gridSpan w:val="2"/>
          </w:tcPr>
          <w:p w14:paraId="2BF14155" w14:textId="77777777" w:rsidR="00E701A6" w:rsidRDefault="00E701A6" w:rsidP="00E701A6"/>
        </w:tc>
        <w:tc>
          <w:tcPr>
            <w:tcW w:w="992" w:type="dxa"/>
            <w:gridSpan w:val="2"/>
          </w:tcPr>
          <w:p w14:paraId="61641D04" w14:textId="77777777" w:rsidR="00E701A6" w:rsidRDefault="00E701A6" w:rsidP="00E701A6"/>
        </w:tc>
      </w:tr>
      <w:tr w:rsidR="00E701A6" w14:paraId="71D597F2" w14:textId="77777777" w:rsidTr="00487ED7">
        <w:tblPrEx>
          <w:tblCellMar>
            <w:left w:w="108" w:type="dxa"/>
            <w:right w:w="108" w:type="dxa"/>
          </w:tblCellMar>
        </w:tblPrEx>
        <w:trPr>
          <w:trHeight w:val="709"/>
        </w:trPr>
        <w:tc>
          <w:tcPr>
            <w:tcW w:w="3681" w:type="dxa"/>
          </w:tcPr>
          <w:p w14:paraId="10AF0868" w14:textId="77777777" w:rsidR="00E701A6" w:rsidRDefault="00E701A6" w:rsidP="00487ED7">
            <w:r>
              <w:t>Silver nitrate an oxidiser and is corrosive to skin and eyes.</w:t>
            </w:r>
          </w:p>
          <w:p w14:paraId="25E228B8" w14:textId="41629632" w:rsidR="00E701A6" w:rsidRDefault="00E701A6" w:rsidP="00487ED7">
            <w:r>
              <w:lastRenderedPageBreak/>
              <w:t>The 0.05 M</w:t>
            </w:r>
            <w:r w:rsidR="00E52287">
              <w:t xml:space="preserve">ol </w:t>
            </w:r>
            <w:r w:rsidR="00E52287" w:rsidRPr="00066C49">
              <w:t>l</w:t>
            </w:r>
            <w:r w:rsidR="00E52287" w:rsidRPr="00066C49">
              <w:rPr>
                <w:vertAlign w:val="superscript"/>
              </w:rPr>
              <w:t>-1</w:t>
            </w:r>
            <w:r w:rsidR="00E52287">
              <w:t xml:space="preserve"> </w:t>
            </w:r>
            <w:r>
              <w:t>solution is of no significant hazard</w:t>
            </w:r>
          </w:p>
          <w:p w14:paraId="7040E864" w14:textId="77777777" w:rsidR="00E701A6" w:rsidRDefault="00E701A6" w:rsidP="00487ED7"/>
        </w:tc>
        <w:tc>
          <w:tcPr>
            <w:tcW w:w="2835" w:type="dxa"/>
          </w:tcPr>
          <w:p w14:paraId="05204476" w14:textId="77777777" w:rsidR="00E701A6" w:rsidRDefault="00E701A6" w:rsidP="00487ED7">
            <w:r>
              <w:lastRenderedPageBreak/>
              <w:t>Technician, making up solutions.</w:t>
            </w:r>
          </w:p>
          <w:p w14:paraId="41EF075C" w14:textId="77777777" w:rsidR="00E701A6" w:rsidRDefault="00E701A6" w:rsidP="00487ED7"/>
        </w:tc>
        <w:tc>
          <w:tcPr>
            <w:tcW w:w="4932" w:type="dxa"/>
          </w:tcPr>
          <w:p w14:paraId="09FA1982" w14:textId="77777777" w:rsidR="00E701A6" w:rsidRDefault="00E701A6" w:rsidP="00487ED7">
            <w:r>
              <w:t>Wear goggles (BS EN166 3) and gloves. Avoid raising dust. Keep away from combustible materials</w:t>
            </w:r>
          </w:p>
          <w:p w14:paraId="5AB155D5" w14:textId="77777777" w:rsidR="00E701A6" w:rsidRDefault="00E701A6" w:rsidP="00487ED7"/>
        </w:tc>
        <w:tc>
          <w:tcPr>
            <w:tcW w:w="993" w:type="dxa"/>
          </w:tcPr>
          <w:p w14:paraId="6036C2C4" w14:textId="77777777" w:rsidR="00E701A6" w:rsidRDefault="00E701A6" w:rsidP="00487ED7"/>
        </w:tc>
        <w:tc>
          <w:tcPr>
            <w:tcW w:w="850" w:type="dxa"/>
            <w:gridSpan w:val="2"/>
          </w:tcPr>
          <w:p w14:paraId="2FDAB2BE" w14:textId="77777777" w:rsidR="00E701A6" w:rsidRDefault="00E701A6" w:rsidP="00487ED7"/>
        </w:tc>
        <w:tc>
          <w:tcPr>
            <w:tcW w:w="992" w:type="dxa"/>
            <w:gridSpan w:val="2"/>
          </w:tcPr>
          <w:p w14:paraId="7407FF2F" w14:textId="77777777" w:rsidR="00E701A6" w:rsidRDefault="00E701A6" w:rsidP="00487ED7"/>
        </w:tc>
      </w:tr>
      <w:tr w:rsidR="00E701A6" w14:paraId="7D4B41E2" w14:textId="77777777" w:rsidTr="00615F7E">
        <w:tblPrEx>
          <w:tblCellMar>
            <w:left w:w="108" w:type="dxa"/>
            <w:right w:w="108" w:type="dxa"/>
          </w:tblCellMar>
        </w:tblPrEx>
        <w:trPr>
          <w:trHeight w:val="709"/>
        </w:trPr>
        <w:tc>
          <w:tcPr>
            <w:tcW w:w="3681" w:type="dxa"/>
          </w:tcPr>
          <w:p w14:paraId="20C22708" w14:textId="77777777" w:rsidR="00E701A6" w:rsidRDefault="00E701A6" w:rsidP="00E701A6">
            <w:r>
              <w:t>Lead nitrate is harmful by ingestion or inhalation, corrosive to the eyes, a reproductive toxin and an oxidiser as well as having long-term effects on the CNS</w:t>
            </w:r>
          </w:p>
          <w:p w14:paraId="04496A27" w14:textId="77777777" w:rsidR="00E701A6" w:rsidRDefault="00E701A6" w:rsidP="00E701A6"/>
          <w:p w14:paraId="701C5B6B" w14:textId="2D1BF4E0" w:rsidR="00E701A6" w:rsidRDefault="00E701A6" w:rsidP="00E701A6">
            <w:r>
              <w:t>The 0.05</w:t>
            </w:r>
            <w:r w:rsidR="00E52287">
              <w:t xml:space="preserve"> </w:t>
            </w:r>
            <w:r>
              <w:t>M</w:t>
            </w:r>
            <w:r w:rsidR="00E52287">
              <w:t xml:space="preserve">ol </w:t>
            </w:r>
            <w:r w:rsidR="00E52287" w:rsidRPr="00066C49">
              <w:t>l</w:t>
            </w:r>
            <w:r w:rsidR="00E52287" w:rsidRPr="00066C49">
              <w:rPr>
                <w:vertAlign w:val="superscript"/>
              </w:rPr>
              <w:t>-1</w:t>
            </w:r>
            <w:r w:rsidR="00E52287">
              <w:t xml:space="preserve"> </w:t>
            </w:r>
            <w:r>
              <w:t>solution is irritant and a reproductive toxin</w:t>
            </w:r>
          </w:p>
        </w:tc>
        <w:tc>
          <w:tcPr>
            <w:tcW w:w="2835" w:type="dxa"/>
          </w:tcPr>
          <w:p w14:paraId="2A6D4CE9" w14:textId="77777777" w:rsidR="00E701A6" w:rsidRDefault="00E701A6" w:rsidP="00E701A6">
            <w:r>
              <w:t>Technician, making up solutions.</w:t>
            </w:r>
          </w:p>
          <w:p w14:paraId="3E2C449C" w14:textId="77777777" w:rsidR="00E701A6" w:rsidRDefault="00E701A6" w:rsidP="00E701A6"/>
          <w:p w14:paraId="4350F6D4" w14:textId="77777777" w:rsidR="00E701A6" w:rsidRDefault="00E701A6" w:rsidP="00E701A6"/>
          <w:p w14:paraId="1419FAE9" w14:textId="77777777" w:rsidR="00E701A6" w:rsidRDefault="00E701A6" w:rsidP="00E701A6"/>
          <w:p w14:paraId="43BB7298" w14:textId="77777777" w:rsidR="00E701A6" w:rsidRDefault="00E701A6" w:rsidP="00E701A6"/>
          <w:p w14:paraId="0AEC086B" w14:textId="5EFB1E9B" w:rsidR="00E701A6" w:rsidRDefault="00E701A6" w:rsidP="00E701A6">
            <w:r>
              <w:t>Pupils/teacher by splashes when carrying out reaction</w:t>
            </w:r>
          </w:p>
        </w:tc>
        <w:tc>
          <w:tcPr>
            <w:tcW w:w="4932" w:type="dxa"/>
          </w:tcPr>
          <w:p w14:paraId="62D1FAE5" w14:textId="77777777" w:rsidR="00E701A6" w:rsidRDefault="00E701A6" w:rsidP="00E701A6">
            <w:r>
              <w:t>Wear goggles (BS EN166 3) and gloves. Avoid raising dust. Keep away from combustible materials</w:t>
            </w:r>
          </w:p>
          <w:p w14:paraId="2C93142F" w14:textId="77777777" w:rsidR="00E701A6" w:rsidRDefault="00E701A6" w:rsidP="00E701A6"/>
          <w:p w14:paraId="217A259E" w14:textId="77777777" w:rsidR="00E701A6" w:rsidRDefault="00E701A6" w:rsidP="00E701A6"/>
          <w:p w14:paraId="6601F05E" w14:textId="77777777" w:rsidR="00E701A6" w:rsidRDefault="00E701A6" w:rsidP="00E701A6"/>
          <w:p w14:paraId="579E2DCB" w14:textId="77777777" w:rsidR="00E701A6" w:rsidRDefault="00E701A6" w:rsidP="00E701A6"/>
          <w:p w14:paraId="1C0B9DC1" w14:textId="0F7A0854" w:rsidR="00E701A6" w:rsidRDefault="00E701A6" w:rsidP="00E701A6">
            <w:r>
              <w:t xml:space="preserve">The nature of the procedure and the small quantities involved make this a safe </w:t>
            </w:r>
            <w:proofErr w:type="gramStart"/>
            <w:r>
              <w:t>process</w:t>
            </w:r>
            <w:proofErr w:type="gramEnd"/>
            <w:r>
              <w:t xml:space="preserve"> but care should still be taken. Wear eye protection and gloves</w:t>
            </w:r>
          </w:p>
        </w:tc>
        <w:tc>
          <w:tcPr>
            <w:tcW w:w="993" w:type="dxa"/>
          </w:tcPr>
          <w:p w14:paraId="04AFC763" w14:textId="77777777" w:rsidR="00E701A6" w:rsidRDefault="00E701A6" w:rsidP="00E701A6"/>
        </w:tc>
        <w:tc>
          <w:tcPr>
            <w:tcW w:w="850" w:type="dxa"/>
            <w:gridSpan w:val="2"/>
          </w:tcPr>
          <w:p w14:paraId="6680E55F" w14:textId="77777777" w:rsidR="00E701A6" w:rsidRDefault="00E701A6" w:rsidP="00E701A6"/>
        </w:tc>
        <w:tc>
          <w:tcPr>
            <w:tcW w:w="992" w:type="dxa"/>
            <w:gridSpan w:val="2"/>
          </w:tcPr>
          <w:p w14:paraId="79EC677E" w14:textId="77777777" w:rsidR="00E701A6" w:rsidRDefault="00E701A6" w:rsidP="00E701A6"/>
        </w:tc>
      </w:tr>
      <w:tr w:rsidR="00E701A6" w14:paraId="7681EB6B" w14:textId="77777777" w:rsidTr="00487ED7">
        <w:tblPrEx>
          <w:tblCellMar>
            <w:left w:w="108" w:type="dxa"/>
            <w:right w:w="108" w:type="dxa"/>
          </w:tblCellMar>
        </w:tblPrEx>
        <w:trPr>
          <w:trHeight w:val="709"/>
        </w:trPr>
        <w:tc>
          <w:tcPr>
            <w:tcW w:w="3681" w:type="dxa"/>
          </w:tcPr>
          <w:p w14:paraId="018E5B57" w14:textId="77777777" w:rsidR="00E701A6" w:rsidRDefault="00E701A6" w:rsidP="00487ED7">
            <w:r>
              <w:t>Hydrochloric acid is corrosive and releases irritating fumes</w:t>
            </w:r>
          </w:p>
          <w:p w14:paraId="4D52B9F3" w14:textId="011DF81D" w:rsidR="00E701A6" w:rsidRDefault="00E701A6" w:rsidP="00487ED7">
            <w:r>
              <w:t>The 1</w:t>
            </w:r>
            <w:r w:rsidR="00E52287">
              <w:t xml:space="preserve"> </w:t>
            </w:r>
            <w:r>
              <w:t>M</w:t>
            </w:r>
            <w:r w:rsidR="00E52287">
              <w:t xml:space="preserve">ol </w:t>
            </w:r>
            <w:r w:rsidR="00E52287" w:rsidRPr="00066C49">
              <w:t>l</w:t>
            </w:r>
            <w:r w:rsidR="00E52287" w:rsidRPr="00066C49">
              <w:rPr>
                <w:vertAlign w:val="superscript"/>
              </w:rPr>
              <w:t>-1</w:t>
            </w:r>
            <w:r w:rsidR="00E52287">
              <w:t xml:space="preserve"> </w:t>
            </w:r>
            <w:r>
              <w:t>solution is of no significant hazard.</w:t>
            </w:r>
          </w:p>
        </w:tc>
        <w:tc>
          <w:tcPr>
            <w:tcW w:w="2835" w:type="dxa"/>
          </w:tcPr>
          <w:p w14:paraId="79B47298" w14:textId="66AFC75C" w:rsidR="00E701A6" w:rsidRDefault="00E701A6" w:rsidP="00487ED7">
            <w:r>
              <w:t>Technician, preparing 1</w:t>
            </w:r>
            <w:r w:rsidR="00E52287">
              <w:t xml:space="preserve"> </w:t>
            </w:r>
            <w:r>
              <w:t>M</w:t>
            </w:r>
            <w:r w:rsidR="00E52287">
              <w:t xml:space="preserve">ol </w:t>
            </w:r>
            <w:r w:rsidR="00E52287" w:rsidRPr="00066C49">
              <w:t>l</w:t>
            </w:r>
            <w:r w:rsidR="00E52287" w:rsidRPr="00066C49">
              <w:rPr>
                <w:vertAlign w:val="superscript"/>
              </w:rPr>
              <w:t>-1</w:t>
            </w:r>
            <w:r w:rsidR="00E52287">
              <w:t xml:space="preserve"> </w:t>
            </w:r>
            <w:r>
              <w:t>solution.</w:t>
            </w:r>
          </w:p>
          <w:p w14:paraId="1A9D3C4A" w14:textId="77777777" w:rsidR="00E701A6" w:rsidRDefault="00E701A6" w:rsidP="00487ED7"/>
        </w:tc>
        <w:tc>
          <w:tcPr>
            <w:tcW w:w="4932" w:type="dxa"/>
          </w:tcPr>
          <w:p w14:paraId="1D1E9B28" w14:textId="77777777" w:rsidR="00E701A6" w:rsidRDefault="00E701A6" w:rsidP="00487ED7">
            <w:r>
              <w:t>Wear goggles (BS EN166 3) and gloves. Work in a fume cupboard.</w:t>
            </w:r>
          </w:p>
        </w:tc>
        <w:tc>
          <w:tcPr>
            <w:tcW w:w="993" w:type="dxa"/>
          </w:tcPr>
          <w:p w14:paraId="3A3310D1" w14:textId="77777777" w:rsidR="00E701A6" w:rsidRDefault="00E701A6" w:rsidP="00487ED7"/>
        </w:tc>
        <w:tc>
          <w:tcPr>
            <w:tcW w:w="850" w:type="dxa"/>
            <w:gridSpan w:val="2"/>
          </w:tcPr>
          <w:p w14:paraId="5419001C" w14:textId="77777777" w:rsidR="00E701A6" w:rsidRDefault="00E701A6" w:rsidP="00487ED7"/>
        </w:tc>
        <w:tc>
          <w:tcPr>
            <w:tcW w:w="992" w:type="dxa"/>
            <w:gridSpan w:val="2"/>
          </w:tcPr>
          <w:p w14:paraId="5E26185F" w14:textId="77777777" w:rsidR="00E701A6" w:rsidRDefault="00E701A6" w:rsidP="00487ED7"/>
        </w:tc>
      </w:tr>
      <w:tr w:rsidR="00E701A6" w14:paraId="63F0E541" w14:textId="77777777" w:rsidTr="00487ED7">
        <w:tblPrEx>
          <w:tblCellMar>
            <w:left w:w="108" w:type="dxa"/>
            <w:right w:w="108" w:type="dxa"/>
          </w:tblCellMar>
        </w:tblPrEx>
        <w:trPr>
          <w:trHeight w:val="709"/>
        </w:trPr>
        <w:tc>
          <w:tcPr>
            <w:tcW w:w="3681" w:type="dxa"/>
          </w:tcPr>
          <w:p w14:paraId="38E9D4E3" w14:textId="474A324F" w:rsidR="00E701A6" w:rsidRDefault="00E701A6" w:rsidP="00487ED7">
            <w:r>
              <w:t>Hydrogen sulphide gas is toxic</w:t>
            </w:r>
            <w:r w:rsidR="00E52287">
              <w:t>.</w:t>
            </w:r>
          </w:p>
        </w:tc>
        <w:tc>
          <w:tcPr>
            <w:tcW w:w="2835" w:type="dxa"/>
          </w:tcPr>
          <w:p w14:paraId="7D98D989" w14:textId="69C46E50" w:rsidR="00E701A6" w:rsidRDefault="00E701A6" w:rsidP="00487ED7">
            <w:r>
              <w:t>Pupils / teacher by inhalation</w:t>
            </w:r>
          </w:p>
        </w:tc>
        <w:tc>
          <w:tcPr>
            <w:tcW w:w="4932" w:type="dxa"/>
          </w:tcPr>
          <w:p w14:paraId="6BDE4B23" w14:textId="2305B667" w:rsidR="00E701A6" w:rsidRDefault="00E52287" w:rsidP="00487ED7">
            <w:r>
              <w:t xml:space="preserve">Carry out the </w:t>
            </w:r>
            <w:r w:rsidR="00A760A2">
              <w:t>reaction with HCl in a fume cupboard – or use the microscale method for testing.</w:t>
            </w:r>
          </w:p>
        </w:tc>
        <w:tc>
          <w:tcPr>
            <w:tcW w:w="993" w:type="dxa"/>
          </w:tcPr>
          <w:p w14:paraId="49F56CFC" w14:textId="77777777" w:rsidR="00E701A6" w:rsidRDefault="00E701A6" w:rsidP="00487ED7"/>
        </w:tc>
        <w:tc>
          <w:tcPr>
            <w:tcW w:w="850" w:type="dxa"/>
            <w:gridSpan w:val="2"/>
          </w:tcPr>
          <w:p w14:paraId="6762CF58" w14:textId="77777777" w:rsidR="00E701A6" w:rsidRDefault="00E701A6" w:rsidP="00487ED7"/>
        </w:tc>
        <w:tc>
          <w:tcPr>
            <w:tcW w:w="992" w:type="dxa"/>
            <w:gridSpan w:val="2"/>
          </w:tcPr>
          <w:p w14:paraId="54B94DF7" w14:textId="77777777" w:rsidR="00E701A6" w:rsidRDefault="00E701A6" w:rsidP="00487ED7"/>
        </w:tc>
      </w:tr>
    </w:tbl>
    <w:p w14:paraId="30D0DDE6"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AF383F" w14:paraId="372004A7" w14:textId="77777777" w:rsidTr="00867B6A">
        <w:trPr>
          <w:trHeight w:val="1975"/>
        </w:trPr>
        <w:tc>
          <w:tcPr>
            <w:tcW w:w="14283" w:type="dxa"/>
          </w:tcPr>
          <w:p w14:paraId="57DD7B39" w14:textId="77777777" w:rsidR="00AF383F" w:rsidRDefault="00AF383F" w:rsidP="00FA0129">
            <w:pPr>
              <w:rPr>
                <w:b/>
                <w:bCs/>
                <w:sz w:val="28"/>
              </w:rPr>
            </w:pPr>
            <w:r>
              <w:rPr>
                <w:b/>
                <w:bCs/>
                <w:sz w:val="28"/>
              </w:rPr>
              <w:t>Description of activity:</w:t>
            </w:r>
          </w:p>
          <w:p w14:paraId="66CD1C29" w14:textId="77777777" w:rsidR="00AF383F" w:rsidRDefault="00AF383F" w:rsidP="00FA0129"/>
          <w:p w14:paraId="7729BA20" w14:textId="77777777" w:rsidR="00B74497" w:rsidRDefault="00B74497" w:rsidP="00B74497"/>
          <w:p w14:paraId="578D59FF" w14:textId="62F4A952" w:rsidR="00FA2AAF" w:rsidRDefault="00E701A6" w:rsidP="00E701A6">
            <w:r>
              <w:t xml:space="preserve">A small amount of iron/sulphur mix is heated and reacted in a small </w:t>
            </w:r>
            <w:r w:rsidR="00F1428E">
              <w:t>b</w:t>
            </w:r>
            <w:r w:rsidR="00FA2AAF">
              <w:t>orosilicate test</w:t>
            </w:r>
            <w:r>
              <w:t xml:space="preserve"> tube. The tube is broken (if necessary) to obtain the contents. </w:t>
            </w:r>
          </w:p>
          <w:p w14:paraId="0F0D296E" w14:textId="23B1BFD6" w:rsidR="00E701A6" w:rsidRDefault="00FA2AAF" w:rsidP="00E701A6">
            <w:r>
              <w:t xml:space="preserve">The contents can then be tested, in comparison with the original mixture, </w:t>
            </w:r>
            <w:r w:rsidR="00F1428E">
              <w:t>for magnetism and the production of H</w:t>
            </w:r>
            <w:r w:rsidR="00F1428E" w:rsidRPr="00F1428E">
              <w:rPr>
                <w:vertAlign w:val="subscript"/>
              </w:rPr>
              <w:t>2</w:t>
            </w:r>
            <w:r w:rsidR="00F1428E">
              <w:t>S when added to acid.</w:t>
            </w:r>
          </w:p>
          <w:p w14:paraId="4F5CD339" w14:textId="1800B2EE" w:rsidR="00AF383F" w:rsidRDefault="00AF383F" w:rsidP="005030EB">
            <w:pPr>
              <w:spacing w:after="240"/>
            </w:pPr>
          </w:p>
        </w:tc>
      </w:tr>
      <w:tr w:rsidR="00AF383F" w14:paraId="6B9CDADB" w14:textId="77777777" w:rsidTr="001A2646">
        <w:trPr>
          <w:trHeight w:val="1861"/>
        </w:trPr>
        <w:tc>
          <w:tcPr>
            <w:tcW w:w="14283" w:type="dxa"/>
          </w:tcPr>
          <w:p w14:paraId="625F576D" w14:textId="77777777" w:rsidR="00AF383F" w:rsidRDefault="00AF383F" w:rsidP="00FA0129">
            <w:pPr>
              <w:rPr>
                <w:b/>
                <w:bCs/>
                <w:sz w:val="28"/>
              </w:rPr>
            </w:pPr>
            <w:r>
              <w:rPr>
                <w:b/>
                <w:bCs/>
                <w:sz w:val="28"/>
              </w:rPr>
              <w:t>Additional comments:</w:t>
            </w:r>
          </w:p>
          <w:p w14:paraId="3D0FA989" w14:textId="77777777" w:rsidR="005030EB" w:rsidRDefault="005030EB" w:rsidP="005030EB">
            <w:pPr>
              <w:rPr>
                <w:b/>
                <w:bCs/>
                <w:sz w:val="28"/>
              </w:rPr>
            </w:pPr>
          </w:p>
          <w:p w14:paraId="4EE96A39" w14:textId="1CE9D58D" w:rsidR="006C25FB" w:rsidRPr="006C25FB" w:rsidRDefault="00E701A6" w:rsidP="00F5440F">
            <w:pPr>
              <w:rPr>
                <w:b/>
                <w:bCs/>
              </w:rPr>
            </w:pPr>
            <w:r>
              <w:t>Silver nitrate, lead nitrate and potassium manganate VII are harmful to the environment. Only washings from the experiment should be washed down the drain. Larger amounts should be kept for disposal.</w:t>
            </w:r>
          </w:p>
        </w:tc>
      </w:tr>
    </w:tbl>
    <w:p w14:paraId="35C66601" w14:textId="77777777" w:rsidR="00F1428E" w:rsidRDefault="00F1428E"/>
    <w:sectPr w:rsidR="00185440" w:rsidSect="00817893">
      <w:footerReference w:type="default" r:id="rId15"/>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4D918" w14:textId="77777777" w:rsidR="005864EA" w:rsidRDefault="005864EA">
      <w:r>
        <w:separator/>
      </w:r>
    </w:p>
  </w:endnote>
  <w:endnote w:type="continuationSeparator" w:id="0">
    <w:p w14:paraId="509A47C6" w14:textId="77777777" w:rsidR="005864EA" w:rsidRDefault="0058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22161" w14:textId="3DD8790F" w:rsidR="00F1428E" w:rsidRDefault="00AF383F">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C49A9" w14:textId="77777777" w:rsidR="005864EA" w:rsidRDefault="005864EA">
      <w:r>
        <w:separator/>
      </w:r>
    </w:p>
  </w:footnote>
  <w:footnote w:type="continuationSeparator" w:id="0">
    <w:p w14:paraId="68EC7537" w14:textId="77777777" w:rsidR="005864EA" w:rsidRDefault="00586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60876"/>
    <w:multiLevelType w:val="hybridMultilevel"/>
    <w:tmpl w:val="A45C0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55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F"/>
    <w:rsid w:val="00011B4F"/>
    <w:rsid w:val="000147A5"/>
    <w:rsid w:val="0003290F"/>
    <w:rsid w:val="00040D6D"/>
    <w:rsid w:val="00056BDB"/>
    <w:rsid w:val="00065E28"/>
    <w:rsid w:val="00071DE9"/>
    <w:rsid w:val="00086106"/>
    <w:rsid w:val="000A2D11"/>
    <w:rsid w:val="000A71FD"/>
    <w:rsid w:val="000B1935"/>
    <w:rsid w:val="000B6C3E"/>
    <w:rsid w:val="000E018D"/>
    <w:rsid w:val="00126876"/>
    <w:rsid w:val="0016135A"/>
    <w:rsid w:val="00187BC2"/>
    <w:rsid w:val="001908F1"/>
    <w:rsid w:val="00191634"/>
    <w:rsid w:val="001A2646"/>
    <w:rsid w:val="001C313A"/>
    <w:rsid w:val="001D1C70"/>
    <w:rsid w:val="00207672"/>
    <w:rsid w:val="00220B40"/>
    <w:rsid w:val="0022610F"/>
    <w:rsid w:val="00260194"/>
    <w:rsid w:val="00280014"/>
    <w:rsid w:val="00283111"/>
    <w:rsid w:val="0029572F"/>
    <w:rsid w:val="00297908"/>
    <w:rsid w:val="002B1D78"/>
    <w:rsid w:val="002C3B8F"/>
    <w:rsid w:val="002D5CE4"/>
    <w:rsid w:val="002F291A"/>
    <w:rsid w:val="00320F83"/>
    <w:rsid w:val="0032218E"/>
    <w:rsid w:val="00330627"/>
    <w:rsid w:val="00332C26"/>
    <w:rsid w:val="0033647C"/>
    <w:rsid w:val="00355377"/>
    <w:rsid w:val="003570D8"/>
    <w:rsid w:val="00362731"/>
    <w:rsid w:val="00373A40"/>
    <w:rsid w:val="0037562B"/>
    <w:rsid w:val="0038668D"/>
    <w:rsid w:val="00393E7C"/>
    <w:rsid w:val="00397813"/>
    <w:rsid w:val="003B2E9D"/>
    <w:rsid w:val="003F3EA1"/>
    <w:rsid w:val="00424815"/>
    <w:rsid w:val="00440FD3"/>
    <w:rsid w:val="00480E95"/>
    <w:rsid w:val="00495EC4"/>
    <w:rsid w:val="004B117E"/>
    <w:rsid w:val="004B377E"/>
    <w:rsid w:val="004B38EB"/>
    <w:rsid w:val="004B3F05"/>
    <w:rsid w:val="004B4563"/>
    <w:rsid w:val="004C67F5"/>
    <w:rsid w:val="004C7B2C"/>
    <w:rsid w:val="004F452F"/>
    <w:rsid w:val="005030EB"/>
    <w:rsid w:val="00504E8C"/>
    <w:rsid w:val="00515166"/>
    <w:rsid w:val="00525854"/>
    <w:rsid w:val="0053768A"/>
    <w:rsid w:val="00537B74"/>
    <w:rsid w:val="0055008E"/>
    <w:rsid w:val="005627B0"/>
    <w:rsid w:val="005718D0"/>
    <w:rsid w:val="00571D4B"/>
    <w:rsid w:val="005864EA"/>
    <w:rsid w:val="005A767D"/>
    <w:rsid w:val="005C3873"/>
    <w:rsid w:val="005C753E"/>
    <w:rsid w:val="005D1234"/>
    <w:rsid w:val="005E1A4C"/>
    <w:rsid w:val="005F1F31"/>
    <w:rsid w:val="005F63E0"/>
    <w:rsid w:val="005F6D07"/>
    <w:rsid w:val="00615F7E"/>
    <w:rsid w:val="00667E95"/>
    <w:rsid w:val="00681771"/>
    <w:rsid w:val="0068379C"/>
    <w:rsid w:val="00690606"/>
    <w:rsid w:val="006B055B"/>
    <w:rsid w:val="006C25FB"/>
    <w:rsid w:val="006E27A3"/>
    <w:rsid w:val="006F40B2"/>
    <w:rsid w:val="00706931"/>
    <w:rsid w:val="00726B26"/>
    <w:rsid w:val="0073596C"/>
    <w:rsid w:val="00747162"/>
    <w:rsid w:val="00753834"/>
    <w:rsid w:val="007547AB"/>
    <w:rsid w:val="007718A2"/>
    <w:rsid w:val="007864BC"/>
    <w:rsid w:val="00792AC7"/>
    <w:rsid w:val="00797200"/>
    <w:rsid w:val="007C1A93"/>
    <w:rsid w:val="007C7560"/>
    <w:rsid w:val="007D40DA"/>
    <w:rsid w:val="007D4EB6"/>
    <w:rsid w:val="007D7BC2"/>
    <w:rsid w:val="007F6BAB"/>
    <w:rsid w:val="00804690"/>
    <w:rsid w:val="008216BE"/>
    <w:rsid w:val="00827A11"/>
    <w:rsid w:val="00867B6A"/>
    <w:rsid w:val="00877DBC"/>
    <w:rsid w:val="00895E28"/>
    <w:rsid w:val="008B19F1"/>
    <w:rsid w:val="008B65FC"/>
    <w:rsid w:val="008F79CC"/>
    <w:rsid w:val="0091164D"/>
    <w:rsid w:val="00921FAF"/>
    <w:rsid w:val="009468D1"/>
    <w:rsid w:val="009601EF"/>
    <w:rsid w:val="009664E8"/>
    <w:rsid w:val="0098248A"/>
    <w:rsid w:val="009B3520"/>
    <w:rsid w:val="009C7752"/>
    <w:rsid w:val="009D58D6"/>
    <w:rsid w:val="009D6DC6"/>
    <w:rsid w:val="009E5CFF"/>
    <w:rsid w:val="009F3CCD"/>
    <w:rsid w:val="00A20275"/>
    <w:rsid w:val="00A760A2"/>
    <w:rsid w:val="00AA4BC1"/>
    <w:rsid w:val="00AC157A"/>
    <w:rsid w:val="00AC18DD"/>
    <w:rsid w:val="00AE54C2"/>
    <w:rsid w:val="00AF383F"/>
    <w:rsid w:val="00B016A8"/>
    <w:rsid w:val="00B12913"/>
    <w:rsid w:val="00B13569"/>
    <w:rsid w:val="00B163C3"/>
    <w:rsid w:val="00B177E1"/>
    <w:rsid w:val="00B32CCC"/>
    <w:rsid w:val="00B54934"/>
    <w:rsid w:val="00B61204"/>
    <w:rsid w:val="00B7296B"/>
    <w:rsid w:val="00B74497"/>
    <w:rsid w:val="00B758F6"/>
    <w:rsid w:val="00B97264"/>
    <w:rsid w:val="00BA3643"/>
    <w:rsid w:val="00BD1D40"/>
    <w:rsid w:val="00BD2B84"/>
    <w:rsid w:val="00C4187C"/>
    <w:rsid w:val="00C50CF7"/>
    <w:rsid w:val="00C86433"/>
    <w:rsid w:val="00CA5A76"/>
    <w:rsid w:val="00CC5CDD"/>
    <w:rsid w:val="00CC7BD0"/>
    <w:rsid w:val="00CD64FF"/>
    <w:rsid w:val="00CF115E"/>
    <w:rsid w:val="00CF2FCA"/>
    <w:rsid w:val="00D02BFA"/>
    <w:rsid w:val="00D22D0B"/>
    <w:rsid w:val="00D24C31"/>
    <w:rsid w:val="00D35F36"/>
    <w:rsid w:val="00D44875"/>
    <w:rsid w:val="00D4502D"/>
    <w:rsid w:val="00D5254B"/>
    <w:rsid w:val="00D572CE"/>
    <w:rsid w:val="00D6382A"/>
    <w:rsid w:val="00D70363"/>
    <w:rsid w:val="00DB0C27"/>
    <w:rsid w:val="00DB6C7D"/>
    <w:rsid w:val="00DB7540"/>
    <w:rsid w:val="00DC4C4A"/>
    <w:rsid w:val="00DE64BA"/>
    <w:rsid w:val="00DF0F81"/>
    <w:rsid w:val="00E02801"/>
    <w:rsid w:val="00E0611B"/>
    <w:rsid w:val="00E426F1"/>
    <w:rsid w:val="00E52287"/>
    <w:rsid w:val="00E701A6"/>
    <w:rsid w:val="00E81178"/>
    <w:rsid w:val="00E82E1C"/>
    <w:rsid w:val="00EB7C10"/>
    <w:rsid w:val="00F1428E"/>
    <w:rsid w:val="00F14337"/>
    <w:rsid w:val="00F2050C"/>
    <w:rsid w:val="00F31A31"/>
    <w:rsid w:val="00F4431D"/>
    <w:rsid w:val="00F50858"/>
    <w:rsid w:val="00F5440F"/>
    <w:rsid w:val="00F71958"/>
    <w:rsid w:val="00FA2AAF"/>
    <w:rsid w:val="00FD4362"/>
    <w:rsid w:val="00FE002E"/>
    <w:rsid w:val="00FE1B02"/>
    <w:rsid w:val="00FF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0C22"/>
  <w15:chartTrackingRefBased/>
  <w15:docId w15:val="{7022678A-EA1A-40DE-98D1-D6F9244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3F"/>
    <w:pPr>
      <w:spacing w:after="0" w:line="240" w:lineRule="auto"/>
      <w:ind w:left="0" w:firstLine="0"/>
    </w:pPr>
    <w:rPr>
      <w:rFonts w:ascii="Tahoma" w:eastAsia="Times New Roman" w:hAnsi="Tahoma" w:cs="Times New Roman"/>
      <w:sz w:val="20"/>
      <w:szCs w:val="20"/>
    </w:rPr>
  </w:style>
  <w:style w:type="paragraph" w:styleId="Heading1">
    <w:name w:val="heading 1"/>
    <w:basedOn w:val="Normal"/>
    <w:next w:val="Normal"/>
    <w:link w:val="Heading1Char"/>
    <w:qFormat/>
    <w:rsid w:val="00AF383F"/>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qFormat/>
    <w:rsid w:val="00AF383F"/>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rPr>
  </w:style>
  <w:style w:type="character" w:customStyle="1" w:styleId="Heading1Char">
    <w:name w:val="Heading 1 Char"/>
    <w:basedOn w:val="DefaultParagraphFont"/>
    <w:link w:val="Heading1"/>
    <w:rsid w:val="00AF383F"/>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AF383F"/>
    <w:rPr>
      <w:rFonts w:ascii="Tahoma" w:eastAsia="Times New Roman" w:hAnsi="Tahoma" w:cs="Times New Roman"/>
      <w:i/>
      <w:iCs/>
      <w:sz w:val="20"/>
      <w:szCs w:val="20"/>
      <w:lang w:val="en-US"/>
    </w:rPr>
  </w:style>
  <w:style w:type="character" w:styleId="Hyperlink">
    <w:name w:val="Hyperlink"/>
    <w:basedOn w:val="DefaultParagraphFont"/>
    <w:semiHidden/>
    <w:rsid w:val="00AF383F"/>
    <w:rPr>
      <w:color w:val="0000FF"/>
      <w:u w:val="single"/>
    </w:rPr>
  </w:style>
  <w:style w:type="paragraph" w:styleId="Salutation">
    <w:name w:val="Salutation"/>
    <w:basedOn w:val="Normal"/>
    <w:next w:val="Normal"/>
    <w:link w:val="SalutationChar"/>
    <w:semiHidden/>
    <w:rsid w:val="00AF383F"/>
  </w:style>
  <w:style w:type="character" w:customStyle="1" w:styleId="SalutationChar">
    <w:name w:val="Salutation Char"/>
    <w:basedOn w:val="DefaultParagraphFont"/>
    <w:link w:val="Salutation"/>
    <w:semiHidden/>
    <w:rsid w:val="00AF383F"/>
    <w:rPr>
      <w:rFonts w:ascii="Tahoma" w:eastAsia="Times New Roman" w:hAnsi="Tahoma" w:cs="Times New Roman"/>
      <w:sz w:val="20"/>
      <w:szCs w:val="20"/>
      <w:lang w:val="en-US"/>
    </w:rPr>
  </w:style>
  <w:style w:type="paragraph" w:styleId="Footer">
    <w:name w:val="footer"/>
    <w:basedOn w:val="Normal"/>
    <w:link w:val="FooterChar"/>
    <w:semiHidden/>
    <w:rsid w:val="00AF383F"/>
    <w:pPr>
      <w:tabs>
        <w:tab w:val="center" w:pos="4153"/>
        <w:tab w:val="right" w:pos="8306"/>
      </w:tabs>
    </w:pPr>
  </w:style>
  <w:style w:type="character" w:customStyle="1" w:styleId="FooterChar">
    <w:name w:val="Footer Char"/>
    <w:basedOn w:val="DefaultParagraphFont"/>
    <w:link w:val="Footer"/>
    <w:semiHidden/>
    <w:rsid w:val="00AF383F"/>
    <w:rPr>
      <w:rFonts w:ascii="Tahoma" w:eastAsia="Times New Roman" w:hAnsi="Tahoma" w:cs="Times New Roman"/>
      <w:sz w:val="20"/>
      <w:szCs w:val="20"/>
      <w:lang w:val="en-US"/>
    </w:rPr>
  </w:style>
  <w:style w:type="character" w:styleId="PageNumber">
    <w:name w:val="page number"/>
    <w:basedOn w:val="DefaultParagraphFont"/>
    <w:semiHidden/>
    <w:rsid w:val="00AF383F"/>
  </w:style>
  <w:style w:type="paragraph" w:styleId="Header">
    <w:name w:val="header"/>
    <w:basedOn w:val="Normal"/>
    <w:link w:val="HeaderChar"/>
    <w:uiPriority w:val="99"/>
    <w:unhideWhenUsed/>
    <w:rsid w:val="007C7560"/>
    <w:pPr>
      <w:tabs>
        <w:tab w:val="center" w:pos="4513"/>
        <w:tab w:val="right" w:pos="9026"/>
      </w:tabs>
    </w:pPr>
  </w:style>
  <w:style w:type="character" w:customStyle="1" w:styleId="HeaderChar">
    <w:name w:val="Header Char"/>
    <w:basedOn w:val="DefaultParagraphFont"/>
    <w:link w:val="Header"/>
    <w:uiPriority w:val="99"/>
    <w:rsid w:val="007C7560"/>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367116">
      <w:bodyDiv w:val="1"/>
      <w:marLeft w:val="0"/>
      <w:marRight w:val="0"/>
      <w:marTop w:val="0"/>
      <w:marBottom w:val="0"/>
      <w:divBdr>
        <w:top w:val="none" w:sz="0" w:space="0" w:color="auto"/>
        <w:left w:val="none" w:sz="0" w:space="0" w:color="auto"/>
        <w:bottom w:val="none" w:sz="0" w:space="0" w:color="auto"/>
        <w:right w:val="none" w:sz="0" w:space="0" w:color="auto"/>
      </w:divBdr>
    </w:div>
    <w:div w:id="280887700">
      <w:bodyDiv w:val="1"/>
      <w:marLeft w:val="0"/>
      <w:marRight w:val="0"/>
      <w:marTop w:val="0"/>
      <w:marBottom w:val="0"/>
      <w:divBdr>
        <w:top w:val="none" w:sz="0" w:space="0" w:color="auto"/>
        <w:left w:val="none" w:sz="0" w:space="0" w:color="auto"/>
        <w:bottom w:val="none" w:sz="0" w:space="0" w:color="auto"/>
        <w:right w:val="none" w:sz="0" w:space="0" w:color="auto"/>
      </w:divBdr>
    </w:div>
    <w:div w:id="426390288">
      <w:bodyDiv w:val="1"/>
      <w:marLeft w:val="0"/>
      <w:marRight w:val="0"/>
      <w:marTop w:val="0"/>
      <w:marBottom w:val="0"/>
      <w:divBdr>
        <w:top w:val="none" w:sz="0" w:space="0" w:color="auto"/>
        <w:left w:val="none" w:sz="0" w:space="0" w:color="auto"/>
        <w:bottom w:val="none" w:sz="0" w:space="0" w:color="auto"/>
        <w:right w:val="none" w:sz="0" w:space="0" w:color="auto"/>
      </w:divBdr>
    </w:div>
    <w:div w:id="951135153">
      <w:bodyDiv w:val="1"/>
      <w:marLeft w:val="0"/>
      <w:marRight w:val="0"/>
      <w:marTop w:val="0"/>
      <w:marBottom w:val="0"/>
      <w:divBdr>
        <w:top w:val="none" w:sz="0" w:space="0" w:color="auto"/>
        <w:left w:val="none" w:sz="0" w:space="0" w:color="auto"/>
        <w:bottom w:val="none" w:sz="0" w:space="0" w:color="auto"/>
        <w:right w:val="none" w:sz="0" w:space="0" w:color="auto"/>
      </w:divBdr>
    </w:div>
    <w:div w:id="953754285">
      <w:bodyDiv w:val="1"/>
      <w:marLeft w:val="0"/>
      <w:marRight w:val="0"/>
      <w:marTop w:val="0"/>
      <w:marBottom w:val="0"/>
      <w:divBdr>
        <w:top w:val="none" w:sz="0" w:space="0" w:color="auto"/>
        <w:left w:val="none" w:sz="0" w:space="0" w:color="auto"/>
        <w:bottom w:val="none" w:sz="0" w:space="0" w:color="auto"/>
        <w:right w:val="none" w:sz="0" w:space="0" w:color="auto"/>
      </w:divBdr>
    </w:div>
    <w:div w:id="1539006668">
      <w:bodyDiv w:val="1"/>
      <w:marLeft w:val="0"/>
      <w:marRight w:val="0"/>
      <w:marTop w:val="0"/>
      <w:marBottom w:val="0"/>
      <w:divBdr>
        <w:top w:val="none" w:sz="0" w:space="0" w:color="auto"/>
        <w:left w:val="none" w:sz="0" w:space="0" w:color="auto"/>
        <w:bottom w:val="none" w:sz="0" w:space="0" w:color="auto"/>
        <w:right w:val="none" w:sz="0" w:space="0" w:color="auto"/>
      </w:divBdr>
    </w:div>
    <w:div w:id="17156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er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sser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erc.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quiries@sser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EA17E-C2FE-41F7-889D-DF2E45D2F7BF}">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customXml/itemProps2.xml><?xml version="1.0" encoding="utf-8"?>
<ds:datastoreItem xmlns:ds="http://schemas.openxmlformats.org/officeDocument/2006/customXml" ds:itemID="{2283C0B0-F5A6-42CF-AB92-54DE97521BD1}">
  <ds:schemaRefs>
    <ds:schemaRef ds:uri="http://schemas.microsoft.com/sharepoint/v3/contenttype/forms"/>
  </ds:schemaRefs>
</ds:datastoreItem>
</file>

<file path=customXml/itemProps3.xml><?xml version="1.0" encoding="utf-8"?>
<ds:datastoreItem xmlns:ds="http://schemas.openxmlformats.org/officeDocument/2006/customXml" ds:itemID="{D1311D93-9C59-4F65-839E-28787771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162</cp:revision>
  <dcterms:created xsi:type="dcterms:W3CDTF">2019-11-07T14:42:00Z</dcterms:created>
  <dcterms:modified xsi:type="dcterms:W3CDTF">2024-10-11T15:04:00Z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