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4E02C" w14:textId="77777777" w:rsidR="00762595" w:rsidRDefault="00762595" w:rsidP="00762595">
      <w:pPr>
        <w:pStyle w:val="Heading1"/>
        <w:rPr>
          <w:sz w:val="24"/>
        </w:rPr>
      </w:pPr>
      <w:r>
        <w:rPr>
          <w:noProof/>
        </w:rPr>
        <mc:AlternateContent>
          <mc:Choice Requires="wps">
            <w:drawing>
              <wp:anchor distT="0" distB="0" distL="114300" distR="114300" simplePos="0" relativeHeight="251658240" behindDoc="0" locked="0" layoutInCell="1" allowOverlap="1" wp14:anchorId="229537B1" wp14:editId="51865392">
                <wp:simplePos x="0" y="0"/>
                <wp:positionH relativeFrom="margin">
                  <wp:align>right</wp:align>
                </wp:positionH>
                <wp:positionV relativeFrom="paragraph">
                  <wp:posOffset>6350</wp:posOffset>
                </wp:positionV>
                <wp:extent cx="6964680" cy="1051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05156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17ED2" w14:textId="77777777" w:rsidR="00762595" w:rsidRDefault="00762595" w:rsidP="00762595">
                            <w:pPr>
                              <w:rPr>
                                <w:b/>
                                <w:bCs/>
                                <w:sz w:val="28"/>
                              </w:rPr>
                            </w:pPr>
                            <w:r>
                              <w:rPr>
                                <w:b/>
                                <w:bCs/>
                                <w:sz w:val="28"/>
                              </w:rPr>
                              <w:t xml:space="preserve">SSERC Risk Assessment </w:t>
                            </w:r>
                            <w:r>
                              <w:rPr>
                                <w:sz w:val="28"/>
                              </w:rPr>
                              <w:t>(revised version March 2018)</w:t>
                            </w:r>
                          </w:p>
                          <w:p w14:paraId="76BB3AD1" w14:textId="77777777" w:rsidR="00762595" w:rsidRDefault="00762595" w:rsidP="00762595">
                            <w:pPr>
                              <w:rPr>
                                <w:sz w:val="24"/>
                              </w:rPr>
                            </w:pPr>
                            <w:r>
                              <w:rPr>
                                <w:sz w:val="24"/>
                              </w:rPr>
                              <w:t xml:space="preserve">(based on HSE’s INDG 163 ‘Risk assessment - A brief guide to controlling risks in the workplace’) </w:t>
                            </w:r>
                          </w:p>
                          <w:p w14:paraId="07CC5FC9" w14:textId="77777777" w:rsidR="00762595" w:rsidRDefault="00762595" w:rsidP="00762595">
                            <w:pPr>
                              <w:rPr>
                                <w:sz w:val="24"/>
                              </w:rPr>
                            </w:pPr>
                          </w:p>
                          <w:p w14:paraId="46835F3C" w14:textId="77777777" w:rsidR="00762595" w:rsidRDefault="00762595" w:rsidP="00762595">
                            <w:r>
                              <w:t>2 Pitreavie Court, South Pitreavie Business Park, Dunfermline KY11 8UU</w:t>
                            </w:r>
                          </w:p>
                          <w:p w14:paraId="38E969FF" w14:textId="77777777" w:rsidR="00762595" w:rsidRDefault="00762595" w:rsidP="00762595">
                            <w:pPr>
                              <w:rPr>
                                <w:sz w:val="18"/>
                              </w:rPr>
                            </w:pPr>
                            <w:proofErr w:type="spellStart"/>
                            <w:r>
                              <w:rPr>
                                <w:sz w:val="18"/>
                              </w:rPr>
                              <w:t>tel</w:t>
                            </w:r>
                            <w:proofErr w:type="spellEnd"/>
                            <w:r>
                              <w:rPr>
                                <w:sz w:val="18"/>
                              </w:rPr>
                              <w:t xml:space="preserve"> : 01383 626070</w:t>
                            </w:r>
                            <w:r>
                              <w:rPr>
                                <w:sz w:val="18"/>
                              </w:rPr>
                              <w:tab/>
                              <w:t xml:space="preserve">e-mail : </w:t>
                            </w:r>
                            <w:hyperlink r:id="rId7" w:history="1">
                              <w:r>
                                <w:rPr>
                                  <w:rStyle w:val="Hyperlink"/>
                                  <w:rFonts w:eastAsiaTheme="majorEastAsia"/>
                                  <w:sz w:val="18"/>
                                </w:rPr>
                                <w:t>enquiries@sserc.org.uk</w:t>
                              </w:r>
                            </w:hyperlink>
                            <w:r>
                              <w:rPr>
                                <w:sz w:val="18"/>
                              </w:rPr>
                              <w:tab/>
                            </w:r>
                            <w:r>
                              <w:rPr>
                                <w:sz w:val="18"/>
                              </w:rPr>
                              <w:tab/>
                              <w:t xml:space="preserve">web : </w:t>
                            </w:r>
                            <w:hyperlink r:id="rId8" w:history="1">
                              <w:r>
                                <w:rPr>
                                  <w:rStyle w:val="Hyperlink"/>
                                  <w:rFonts w:eastAsiaTheme="majorEastAsia"/>
                                  <w:sz w:val="18"/>
                                </w:rPr>
                                <w:t>www.sserc.org.uk</w:t>
                              </w:r>
                            </w:hyperlink>
                          </w:p>
                          <w:p w14:paraId="6D94365F" w14:textId="77777777" w:rsidR="00762595" w:rsidRDefault="00762595" w:rsidP="00762595">
                            <w:pPr>
                              <w:jc w:val="right"/>
                              <w:rPr>
                                <w:sz w:val="18"/>
                              </w:rPr>
                            </w:pPr>
                          </w:p>
                          <w:p w14:paraId="69F6D970" w14:textId="77777777" w:rsidR="00762595" w:rsidRDefault="00762595" w:rsidP="00762595">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537B1" id="_x0000_t202" coordsize="21600,21600" o:spt="202" path="m,l,21600r21600,l21600,xe">
                <v:stroke joinstyle="miter"/>
                <v:path gradientshapeok="t" o:connecttype="rect"/>
              </v:shapetype>
              <v:shape id="Text Box 2" o:spid="_x0000_s1026" type="#_x0000_t202" style="position:absolute;margin-left:497.2pt;margin-top:.5pt;width:548.4pt;height:82.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" filled="f" fillcolor="silver" stroked="f">
                <v:textbox>
                  <w:txbxContent>
                    <w:p w14:paraId="66917ED2" w14:textId="77777777" w:rsidR="00762595" w:rsidRDefault="00762595" w:rsidP="00762595">
                      <w:pPr>
                        <w:rPr>
                          <w:b/>
                          <w:bCs/>
                          <w:sz w:val="28"/>
                        </w:rPr>
                      </w:pPr>
                      <w:r>
                        <w:rPr>
                          <w:b/>
                          <w:bCs/>
                          <w:sz w:val="28"/>
                        </w:rPr>
                        <w:t xml:space="preserve">SSERC Risk Assessment </w:t>
                      </w:r>
                      <w:r>
                        <w:rPr>
                          <w:sz w:val="28"/>
                        </w:rPr>
                        <w:t>(revised version March 2018)</w:t>
                      </w:r>
                    </w:p>
                    <w:p w14:paraId="76BB3AD1" w14:textId="77777777" w:rsidR="00762595" w:rsidRDefault="00762595" w:rsidP="00762595">
                      <w:pPr>
                        <w:rPr>
                          <w:sz w:val="24"/>
                        </w:rPr>
                      </w:pPr>
                      <w:r>
                        <w:rPr>
                          <w:sz w:val="24"/>
                        </w:rPr>
                        <w:t>(</w:t>
                      </w:r>
                      <w:proofErr w:type="gramStart"/>
                      <w:r>
                        <w:rPr>
                          <w:sz w:val="24"/>
                        </w:rPr>
                        <w:t>based</w:t>
                      </w:r>
                      <w:proofErr w:type="gramEnd"/>
                      <w:r>
                        <w:rPr>
                          <w:sz w:val="24"/>
                        </w:rPr>
                        <w:t xml:space="preserve"> on HSE’s INDG 163 ‘Risk assessment - A brief guide to controlling risks in the workplace’) </w:t>
                      </w:r>
                    </w:p>
                    <w:p w14:paraId="07CC5FC9" w14:textId="77777777" w:rsidR="00762595" w:rsidRDefault="00762595" w:rsidP="00762595">
                      <w:pPr>
                        <w:rPr>
                          <w:sz w:val="24"/>
                        </w:rPr>
                      </w:pPr>
                    </w:p>
                    <w:p w14:paraId="46835F3C" w14:textId="77777777" w:rsidR="00762595" w:rsidRDefault="00762595" w:rsidP="00762595">
                      <w:r>
                        <w:t>2 Pitreavie Court, South Pitreavie Business Park, Dunfermline KY11 8UU</w:t>
                      </w:r>
                    </w:p>
                    <w:p w14:paraId="38E969FF"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9" w:history="1">
                        <w:r>
                          <w:rPr>
                            <w:rStyle w:val="Hyperlink"/>
                            <w:rFonts w:eastAsiaTheme="majorEastAsia"/>
                            <w:sz w:val="18"/>
                          </w:rPr>
                          <w:t>enquiries@sserc.org.uk</w:t>
                        </w:r>
                      </w:hyperlink>
                      <w:r>
                        <w:rPr>
                          <w:sz w:val="18"/>
                        </w:rPr>
                        <w:tab/>
                      </w:r>
                      <w:r>
                        <w:rPr>
                          <w:sz w:val="18"/>
                        </w:rPr>
                        <w:tab/>
                        <w:t xml:space="preserve">web : </w:t>
                      </w:r>
                      <w:hyperlink r:id="rId10" w:history="1">
                        <w:r>
                          <w:rPr>
                            <w:rStyle w:val="Hyperlink"/>
                            <w:rFonts w:eastAsiaTheme="majorEastAsia"/>
                            <w:sz w:val="18"/>
                          </w:rPr>
                          <w:t>www.sserc.org.uk</w:t>
                        </w:r>
                      </w:hyperlink>
                    </w:p>
                    <w:p w14:paraId="6D94365F" w14:textId="77777777" w:rsidR="00762595" w:rsidRDefault="00762595" w:rsidP="00762595">
                      <w:pPr>
                        <w:jc w:val="right"/>
                        <w:rPr>
                          <w:sz w:val="18"/>
                        </w:rPr>
                      </w:pPr>
                    </w:p>
                    <w:p w14:paraId="69F6D970" w14:textId="77777777" w:rsidR="00762595" w:rsidRDefault="00762595" w:rsidP="00762595">
                      <w:pPr>
                        <w:rPr>
                          <w:sz w:val="24"/>
                        </w:rPr>
                      </w:pPr>
                    </w:p>
                  </w:txbxContent>
                </v:textbox>
                <w10:wrap anchorx="margin"/>
              </v:shape>
            </w:pict>
          </mc:Fallback>
        </mc:AlternateContent>
      </w:r>
      <w:r>
        <w:rPr>
          <w:noProof/>
          <w:sz w:val="24"/>
        </w:rPr>
        <w:drawing>
          <wp:inline distT="0" distB="0" distL="0" distR="0" wp14:anchorId="2940F2D0" wp14:editId="3BAFE92F">
            <wp:extent cx="203835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809625"/>
                    </a:xfrm>
                    <a:prstGeom prst="rect">
                      <a:avLst/>
                    </a:prstGeom>
                    <a:noFill/>
                    <a:ln>
                      <a:noFill/>
                    </a:ln>
                  </pic:spPr>
                </pic:pic>
              </a:graphicData>
            </a:graphic>
          </wp:inline>
        </w:drawing>
      </w:r>
    </w:p>
    <w:p w14:paraId="4B18E887" w14:textId="77777777" w:rsidR="00762595" w:rsidRDefault="00762595" w:rsidP="00762595">
      <w:pPr>
        <w:pStyle w:val="Heading1"/>
        <w:rPr>
          <w:sz w:val="24"/>
        </w:rPr>
      </w:pPr>
    </w:p>
    <w:p w14:paraId="159D564B" w14:textId="77777777" w:rsidR="00762595" w:rsidRDefault="00762595" w:rsidP="00762595">
      <w:pPr>
        <w:pStyle w:val="Heading1"/>
        <w:rPr>
          <w:sz w:val="24"/>
        </w:rPr>
      </w:pPr>
    </w:p>
    <w:p w14:paraId="50042727" w14:textId="77777777" w:rsidR="00762595" w:rsidRDefault="00762595" w:rsidP="00762595">
      <w:pPr>
        <w:pStyle w:val="Heading1"/>
        <w:ind w:left="720" w:firstLine="90"/>
        <w:rPr>
          <w:sz w:val="20"/>
        </w:rPr>
      </w:pPr>
      <w:r>
        <w:rPr>
          <w:sz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3"/>
      </w:tblGrid>
      <w:tr w:rsidR="00762595" w14:paraId="0C2208BD"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4A5EEDF1" w14:textId="77777777" w:rsidR="00762595" w:rsidRDefault="00762595">
            <w:pPr>
              <w:pStyle w:val="Heading6"/>
            </w:pPr>
            <w:r>
              <w:t>Activity assessed</w:t>
            </w:r>
          </w:p>
        </w:tc>
        <w:tc>
          <w:tcPr>
            <w:tcW w:w="5843" w:type="dxa"/>
            <w:tcBorders>
              <w:top w:val="single" w:sz="4" w:space="0" w:color="auto"/>
              <w:left w:val="single" w:sz="4" w:space="0" w:color="auto"/>
              <w:bottom w:val="single" w:sz="4" w:space="0" w:color="auto"/>
              <w:right w:val="single" w:sz="4" w:space="0" w:color="auto"/>
            </w:tcBorders>
          </w:tcPr>
          <w:p w14:paraId="36DB0A2C" w14:textId="3B159605" w:rsidR="00762595" w:rsidRDefault="009B4D20">
            <w:r>
              <w:t>Use of Thermometers</w:t>
            </w:r>
          </w:p>
        </w:tc>
      </w:tr>
      <w:tr w:rsidR="00762595" w14:paraId="051F18B7"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10B5EA78" w14:textId="77777777" w:rsidR="00762595" w:rsidRDefault="00762595">
            <w:pPr>
              <w:rPr>
                <w:i/>
                <w:iCs/>
              </w:rPr>
            </w:pPr>
            <w:r>
              <w:rPr>
                <w:i/>
                <w:iCs/>
              </w:rPr>
              <w:t>Date of assessment</w:t>
            </w:r>
          </w:p>
        </w:tc>
        <w:tc>
          <w:tcPr>
            <w:tcW w:w="5843" w:type="dxa"/>
            <w:tcBorders>
              <w:top w:val="single" w:sz="4" w:space="0" w:color="auto"/>
              <w:left w:val="single" w:sz="4" w:space="0" w:color="auto"/>
              <w:bottom w:val="single" w:sz="4" w:space="0" w:color="auto"/>
              <w:right w:val="single" w:sz="4" w:space="0" w:color="auto"/>
            </w:tcBorders>
          </w:tcPr>
          <w:p w14:paraId="2DF0ACBA" w14:textId="7F2C5B8D" w:rsidR="00762595" w:rsidRDefault="009B4D20">
            <w:r>
              <w:t>August 2022</w:t>
            </w:r>
          </w:p>
        </w:tc>
      </w:tr>
      <w:tr w:rsidR="00762595" w14:paraId="53E250FE"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1503E05A" w14:textId="77777777" w:rsidR="00762595" w:rsidRDefault="00762595">
            <w:pPr>
              <w:rPr>
                <w:i/>
                <w:iCs/>
              </w:rPr>
            </w:pPr>
            <w:r>
              <w:rPr>
                <w:i/>
                <w:iCs/>
              </w:rPr>
              <w:t>Date of review (</w:t>
            </w:r>
            <w:r>
              <w:rPr>
                <w:b/>
                <w:i/>
                <w:iCs/>
              </w:rPr>
              <w:t>Step 5</w:t>
            </w:r>
            <w:r>
              <w:rPr>
                <w:i/>
                <w:iCs/>
              </w:rPr>
              <w:t>)</w:t>
            </w:r>
          </w:p>
        </w:tc>
        <w:tc>
          <w:tcPr>
            <w:tcW w:w="5843" w:type="dxa"/>
            <w:tcBorders>
              <w:top w:val="single" w:sz="4" w:space="0" w:color="auto"/>
              <w:left w:val="single" w:sz="4" w:space="0" w:color="auto"/>
              <w:bottom w:val="single" w:sz="4" w:space="0" w:color="auto"/>
              <w:right w:val="single" w:sz="4" w:space="0" w:color="auto"/>
            </w:tcBorders>
          </w:tcPr>
          <w:p w14:paraId="50C29531" w14:textId="77777777" w:rsidR="00762595" w:rsidRDefault="00762595">
            <w:pPr>
              <w:pStyle w:val="Salutation"/>
            </w:pPr>
          </w:p>
        </w:tc>
      </w:tr>
      <w:tr w:rsidR="00762595" w14:paraId="4EC61458"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2C49F219" w14:textId="77777777" w:rsidR="00762595" w:rsidRDefault="00762595">
            <w:pPr>
              <w:rPr>
                <w:i/>
                <w:iCs/>
              </w:rPr>
            </w:pPr>
            <w:r>
              <w:rPr>
                <w:i/>
                <w:iCs/>
              </w:rPr>
              <w:t>School</w:t>
            </w:r>
          </w:p>
        </w:tc>
        <w:tc>
          <w:tcPr>
            <w:tcW w:w="5843" w:type="dxa"/>
            <w:tcBorders>
              <w:top w:val="single" w:sz="4" w:space="0" w:color="auto"/>
              <w:left w:val="single" w:sz="4" w:space="0" w:color="auto"/>
              <w:bottom w:val="single" w:sz="4" w:space="0" w:color="auto"/>
              <w:right w:val="single" w:sz="4" w:space="0" w:color="auto"/>
            </w:tcBorders>
          </w:tcPr>
          <w:p w14:paraId="2BD96A0C" w14:textId="77777777" w:rsidR="00762595" w:rsidRDefault="00762595">
            <w:pPr>
              <w:pStyle w:val="Salutation"/>
            </w:pPr>
          </w:p>
        </w:tc>
      </w:tr>
      <w:tr w:rsidR="00762595" w14:paraId="4B7DD6DD"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20074079" w14:textId="77777777" w:rsidR="00762595" w:rsidRDefault="00762595">
            <w:pPr>
              <w:rPr>
                <w:i/>
                <w:iCs/>
              </w:rPr>
            </w:pPr>
            <w:r>
              <w:rPr>
                <w:i/>
                <w:iCs/>
              </w:rPr>
              <w:t>Department</w:t>
            </w:r>
          </w:p>
        </w:tc>
        <w:tc>
          <w:tcPr>
            <w:tcW w:w="5843" w:type="dxa"/>
            <w:tcBorders>
              <w:top w:val="single" w:sz="4" w:space="0" w:color="auto"/>
              <w:left w:val="single" w:sz="4" w:space="0" w:color="auto"/>
              <w:bottom w:val="single" w:sz="4" w:space="0" w:color="auto"/>
              <w:right w:val="single" w:sz="4" w:space="0" w:color="auto"/>
            </w:tcBorders>
          </w:tcPr>
          <w:p w14:paraId="514126E4" w14:textId="77777777" w:rsidR="00762595" w:rsidRDefault="00762595"/>
        </w:tc>
      </w:tr>
    </w:tbl>
    <w:p w14:paraId="35A8B48D" w14:textId="77777777" w:rsidR="00762595" w:rsidRDefault="00762595" w:rsidP="00762595"/>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59"/>
        <w:gridCol w:w="2550"/>
        <w:gridCol w:w="6236"/>
        <w:gridCol w:w="1134"/>
        <w:gridCol w:w="993"/>
        <w:gridCol w:w="708"/>
      </w:tblGrid>
      <w:tr w:rsidR="00762595" w14:paraId="69AB7376" w14:textId="77777777" w:rsidTr="00D3382D">
        <w:trPr>
          <w:tblHeader/>
        </w:trPr>
        <w:tc>
          <w:tcPr>
            <w:tcW w:w="2659"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24235E04" w14:textId="77777777" w:rsidR="00762595" w:rsidRDefault="00762595">
            <w:pPr>
              <w:jc w:val="center"/>
              <w:rPr>
                <w:sz w:val="28"/>
              </w:rPr>
            </w:pPr>
            <w:r>
              <w:rPr>
                <w:sz w:val="28"/>
              </w:rPr>
              <w:t>Step 1</w:t>
            </w:r>
          </w:p>
        </w:tc>
        <w:tc>
          <w:tcPr>
            <w:tcW w:w="2550"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7BDA7C4B" w14:textId="77777777" w:rsidR="00762595" w:rsidRDefault="00762595">
            <w:pPr>
              <w:jc w:val="center"/>
              <w:rPr>
                <w:sz w:val="28"/>
              </w:rPr>
            </w:pPr>
            <w:r>
              <w:rPr>
                <w:sz w:val="28"/>
              </w:rPr>
              <w:t>Step 2</w:t>
            </w:r>
          </w:p>
        </w:tc>
        <w:tc>
          <w:tcPr>
            <w:tcW w:w="6236"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07DF35F9" w14:textId="77777777" w:rsidR="00762595" w:rsidRDefault="00762595">
            <w:pPr>
              <w:jc w:val="center"/>
              <w:rPr>
                <w:sz w:val="28"/>
              </w:rPr>
            </w:pPr>
            <w:r>
              <w:rPr>
                <w:sz w:val="28"/>
              </w:rPr>
              <w:t>Step 3</w:t>
            </w:r>
          </w:p>
        </w:tc>
        <w:tc>
          <w:tcPr>
            <w:tcW w:w="2835" w:type="dxa"/>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19263427" w14:textId="77777777" w:rsidR="00762595" w:rsidRDefault="00762595">
            <w:pPr>
              <w:jc w:val="center"/>
              <w:rPr>
                <w:sz w:val="28"/>
              </w:rPr>
            </w:pPr>
            <w:r>
              <w:rPr>
                <w:sz w:val="28"/>
              </w:rPr>
              <w:t>Step 4</w:t>
            </w:r>
          </w:p>
        </w:tc>
      </w:tr>
      <w:tr w:rsidR="00762595" w14:paraId="4A224750" w14:textId="77777777" w:rsidTr="00D3382D">
        <w:trPr>
          <w:tblHeader/>
        </w:trPr>
        <w:tc>
          <w:tcPr>
            <w:tcW w:w="2659"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1797804" w14:textId="77777777" w:rsidR="00762595" w:rsidRDefault="00762595">
            <w:pPr>
              <w:pStyle w:val="Salutation"/>
              <w:rPr>
                <w:sz w:val="28"/>
              </w:rPr>
            </w:pPr>
            <w:r>
              <w:rPr>
                <w:i/>
                <w:iCs/>
              </w:rPr>
              <w:t>List Significant hazards here:</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BFE1ED9" w14:textId="77777777" w:rsidR="00762595" w:rsidRDefault="00762595">
            <w:pPr>
              <w:rPr>
                <w:sz w:val="28"/>
              </w:rPr>
            </w:pPr>
            <w:r>
              <w:rPr>
                <w:i/>
                <w:iCs/>
              </w:rPr>
              <w:t>Who might be harmed and how?</w:t>
            </w:r>
          </w:p>
        </w:tc>
        <w:tc>
          <w:tcPr>
            <w:tcW w:w="6236"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3EF24C2A" w14:textId="77777777" w:rsidR="00762595" w:rsidRDefault="00762595">
            <w:pPr>
              <w:rPr>
                <w:i/>
                <w:iCs/>
              </w:rPr>
            </w:pPr>
            <w:r>
              <w:rPr>
                <w:i/>
                <w:iCs/>
              </w:rPr>
              <w:t>What are you already doing?</w:t>
            </w:r>
          </w:p>
          <w:p w14:paraId="7060BF39" w14:textId="77777777" w:rsidR="00762595" w:rsidRDefault="00762595">
            <w:pPr>
              <w:rPr>
                <w:i/>
                <w:iCs/>
              </w:rPr>
            </w:pPr>
            <w:r>
              <w:rPr>
                <w:i/>
                <w:iCs/>
              </w:rPr>
              <w:t>What further action is needed?</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A94D0FD" w14:textId="77777777" w:rsidR="00762595" w:rsidRDefault="00762595">
            <w:pPr>
              <w:jc w:val="center"/>
              <w:rPr>
                <w:i/>
                <w:iCs/>
              </w:rPr>
            </w:pPr>
            <w:r>
              <w:rPr>
                <w:i/>
                <w:iCs/>
              </w:rPr>
              <w:t>Actions</w:t>
            </w:r>
          </w:p>
        </w:tc>
      </w:tr>
      <w:tr w:rsidR="00762595" w14:paraId="68B5ABE3" w14:textId="77777777" w:rsidTr="00D3382D">
        <w:trPr>
          <w:trHeight w:val="344"/>
        </w:trPr>
        <w:tc>
          <w:tcPr>
            <w:tcW w:w="2659" w:type="dxa"/>
            <w:vMerge/>
            <w:tcBorders>
              <w:top w:val="single" w:sz="4" w:space="0" w:color="auto"/>
              <w:left w:val="single" w:sz="4" w:space="0" w:color="auto"/>
              <w:bottom w:val="single" w:sz="4" w:space="0" w:color="auto"/>
              <w:right w:val="single" w:sz="4" w:space="0" w:color="auto"/>
            </w:tcBorders>
            <w:vAlign w:val="center"/>
            <w:hideMark/>
          </w:tcPr>
          <w:p w14:paraId="201693E4" w14:textId="77777777" w:rsidR="00762595" w:rsidRDefault="00762595">
            <w:pPr>
              <w:rPr>
                <w:sz w:val="28"/>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1D3464C7" w14:textId="77777777" w:rsidR="00762595" w:rsidRDefault="00762595">
            <w:pPr>
              <w:rPr>
                <w:sz w:val="28"/>
              </w:rPr>
            </w:pPr>
          </w:p>
        </w:tc>
        <w:tc>
          <w:tcPr>
            <w:tcW w:w="6236" w:type="dxa"/>
            <w:vMerge/>
            <w:tcBorders>
              <w:top w:val="single" w:sz="4" w:space="0" w:color="auto"/>
              <w:left w:val="single" w:sz="4" w:space="0" w:color="auto"/>
              <w:bottom w:val="single" w:sz="4" w:space="0" w:color="auto"/>
              <w:right w:val="single" w:sz="4" w:space="0" w:color="auto"/>
            </w:tcBorders>
            <w:vAlign w:val="center"/>
            <w:hideMark/>
          </w:tcPr>
          <w:p w14:paraId="7E0ADCB0" w14:textId="77777777" w:rsidR="00762595" w:rsidRDefault="00762595">
            <w:pPr>
              <w:rPr>
                <w:i/>
                <w:iCs/>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1C14733" w14:textId="77777777" w:rsidR="00762595" w:rsidRDefault="00762595">
            <w:pPr>
              <w:rPr>
                <w:i/>
                <w:iCs/>
              </w:rPr>
            </w:pPr>
            <w:r>
              <w:rPr>
                <w:i/>
                <w:iCs/>
              </w:rPr>
              <w:t>by whom?</w:t>
            </w: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6ED51B5C" w14:textId="77777777" w:rsidR="00762595" w:rsidRDefault="00762595">
            <w:pPr>
              <w:rPr>
                <w:i/>
                <w:iCs/>
              </w:rPr>
            </w:pPr>
            <w:r>
              <w:rPr>
                <w:i/>
                <w:iCs/>
              </w:rPr>
              <w:t>Due date</w:t>
            </w:r>
          </w:p>
        </w:tc>
        <w:tc>
          <w:tcPr>
            <w:tcW w:w="708"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0877C3C" w14:textId="77777777" w:rsidR="00762595" w:rsidRDefault="00762595">
            <w:pPr>
              <w:rPr>
                <w:i/>
                <w:iCs/>
              </w:rPr>
            </w:pPr>
            <w:r>
              <w:rPr>
                <w:i/>
                <w:iCs/>
              </w:rPr>
              <w:t>Done</w:t>
            </w:r>
          </w:p>
        </w:tc>
      </w:tr>
      <w:tr w:rsidR="00D3382D" w14:paraId="1E2D748C" w14:textId="77777777" w:rsidTr="00D3382D">
        <w:trPr>
          <w:trHeight w:val="709"/>
        </w:trPr>
        <w:tc>
          <w:tcPr>
            <w:tcW w:w="2659" w:type="dxa"/>
            <w:tcBorders>
              <w:top w:val="single" w:sz="4" w:space="0" w:color="auto"/>
              <w:left w:val="single" w:sz="4" w:space="0" w:color="auto"/>
              <w:bottom w:val="single" w:sz="4" w:space="0" w:color="auto"/>
              <w:right w:val="single" w:sz="4" w:space="0" w:color="auto"/>
            </w:tcBorders>
          </w:tcPr>
          <w:p w14:paraId="6A62D83A" w14:textId="7C467C2C" w:rsidR="00D3382D" w:rsidRDefault="00D3382D" w:rsidP="00D3382D">
            <w:r>
              <w:t>Cuts from sharp edges of glass if the thermometer breaks</w:t>
            </w:r>
          </w:p>
          <w:p w14:paraId="1C90161C" w14:textId="77777777" w:rsidR="00D3382D" w:rsidRDefault="00D3382D" w:rsidP="00D3382D"/>
        </w:tc>
        <w:tc>
          <w:tcPr>
            <w:tcW w:w="2550" w:type="dxa"/>
            <w:tcBorders>
              <w:top w:val="single" w:sz="4" w:space="0" w:color="auto"/>
              <w:left w:val="single" w:sz="4" w:space="0" w:color="auto"/>
              <w:bottom w:val="single" w:sz="4" w:space="0" w:color="auto"/>
              <w:right w:val="single" w:sz="4" w:space="0" w:color="auto"/>
            </w:tcBorders>
          </w:tcPr>
          <w:p w14:paraId="6D0E2081" w14:textId="37169A4C" w:rsidR="00D3382D" w:rsidRDefault="00D3382D" w:rsidP="00D3382D">
            <w:r>
              <w:t xml:space="preserve">Anyone using a thermometer </w:t>
            </w:r>
          </w:p>
          <w:p w14:paraId="5201E33B" w14:textId="7C3647BD" w:rsidR="00D3382D" w:rsidRDefault="00D3382D" w:rsidP="00D3382D">
            <w:r>
              <w:t>Cuts with consequent possible infection of wounds, loss of blood &amp; fragments of glass embedded in a wound</w:t>
            </w:r>
          </w:p>
          <w:p w14:paraId="2D773DB4" w14:textId="77777777" w:rsidR="00D3382D" w:rsidRDefault="00D3382D" w:rsidP="00D3382D">
            <w:r>
              <w:t>Burns &amp; scalds</w:t>
            </w:r>
          </w:p>
          <w:p w14:paraId="5EACEBAA" w14:textId="496B2B46" w:rsidR="00D3382D" w:rsidRDefault="00D3382D" w:rsidP="00D3382D">
            <w:r>
              <w:t>Cuts etc.</w:t>
            </w:r>
          </w:p>
        </w:tc>
        <w:tc>
          <w:tcPr>
            <w:tcW w:w="6236" w:type="dxa"/>
            <w:tcBorders>
              <w:top w:val="single" w:sz="4" w:space="0" w:color="auto"/>
              <w:left w:val="single" w:sz="4" w:space="0" w:color="auto"/>
              <w:bottom w:val="single" w:sz="4" w:space="0" w:color="auto"/>
              <w:right w:val="single" w:sz="4" w:space="0" w:color="auto"/>
            </w:tcBorders>
          </w:tcPr>
          <w:p w14:paraId="1E032691" w14:textId="77777777" w:rsidR="00D3382D" w:rsidRDefault="00D3382D" w:rsidP="00D3382D">
            <w:r>
              <w:t>Check glass thermometers for breakage or cracks to the glass prior to use.  Never allow damaged thermometers to be used.  Hand protection should be worn when retrieving broken pieces of thermometer.</w:t>
            </w:r>
          </w:p>
          <w:p w14:paraId="79EB4EF5" w14:textId="77777777" w:rsidR="00D3382D" w:rsidRDefault="00D3382D" w:rsidP="00D3382D">
            <w:r>
              <w:t>Ensure that care is taken when handling a hot thermometer.  A close-fitting heat resistant glove should be worn.</w:t>
            </w:r>
          </w:p>
          <w:p w14:paraId="5340F561" w14:textId="77777777" w:rsidR="00D3382D" w:rsidRDefault="00D3382D" w:rsidP="00D3382D">
            <w:r>
              <w:t>Take particular care when putting thermometers through corks or bungs.</w:t>
            </w:r>
          </w:p>
          <w:p w14:paraId="2AD9BB24" w14:textId="77777777" w:rsidR="00D3382D" w:rsidRDefault="00D3382D" w:rsidP="00D3382D"/>
        </w:tc>
        <w:tc>
          <w:tcPr>
            <w:tcW w:w="1134" w:type="dxa"/>
            <w:tcBorders>
              <w:top w:val="single" w:sz="4" w:space="0" w:color="auto"/>
              <w:left w:val="single" w:sz="4" w:space="0" w:color="auto"/>
              <w:bottom w:val="single" w:sz="4" w:space="0" w:color="auto"/>
              <w:right w:val="single" w:sz="4" w:space="0" w:color="auto"/>
            </w:tcBorders>
          </w:tcPr>
          <w:p w14:paraId="7DED1A82" w14:textId="77777777" w:rsidR="00D3382D" w:rsidRDefault="00D3382D" w:rsidP="00D3382D"/>
        </w:tc>
        <w:tc>
          <w:tcPr>
            <w:tcW w:w="993" w:type="dxa"/>
            <w:tcBorders>
              <w:top w:val="single" w:sz="4" w:space="0" w:color="auto"/>
              <w:left w:val="single" w:sz="4" w:space="0" w:color="auto"/>
              <w:bottom w:val="single" w:sz="4" w:space="0" w:color="auto"/>
              <w:right w:val="single" w:sz="4" w:space="0" w:color="auto"/>
            </w:tcBorders>
          </w:tcPr>
          <w:p w14:paraId="0C1EE38B" w14:textId="77777777" w:rsidR="00D3382D" w:rsidRDefault="00D3382D" w:rsidP="00D3382D"/>
        </w:tc>
        <w:tc>
          <w:tcPr>
            <w:tcW w:w="708" w:type="dxa"/>
            <w:tcBorders>
              <w:top w:val="single" w:sz="4" w:space="0" w:color="auto"/>
              <w:left w:val="single" w:sz="4" w:space="0" w:color="auto"/>
              <w:bottom w:val="single" w:sz="4" w:space="0" w:color="auto"/>
              <w:right w:val="single" w:sz="4" w:space="0" w:color="auto"/>
            </w:tcBorders>
          </w:tcPr>
          <w:p w14:paraId="180BF7C8" w14:textId="77777777" w:rsidR="00D3382D" w:rsidRDefault="00D3382D" w:rsidP="00D3382D"/>
        </w:tc>
      </w:tr>
      <w:tr w:rsidR="00D3382D" w14:paraId="55730A6E" w14:textId="77777777" w:rsidTr="00D3382D">
        <w:trPr>
          <w:trHeight w:val="718"/>
        </w:trPr>
        <w:tc>
          <w:tcPr>
            <w:tcW w:w="2659" w:type="dxa"/>
            <w:tcBorders>
              <w:top w:val="single" w:sz="4" w:space="0" w:color="auto"/>
              <w:left w:val="single" w:sz="4" w:space="0" w:color="auto"/>
              <w:bottom w:val="single" w:sz="4" w:space="0" w:color="auto"/>
              <w:right w:val="single" w:sz="4" w:space="0" w:color="auto"/>
            </w:tcBorders>
          </w:tcPr>
          <w:p w14:paraId="456132D4" w14:textId="0E1F2BCC" w:rsidR="00D3382D" w:rsidRDefault="00D3382D" w:rsidP="00D3382D">
            <w:r>
              <w:t>Overbalancing of apparatus can lead to spillage and breakage,</w:t>
            </w:r>
          </w:p>
          <w:p w14:paraId="50DCDDE0" w14:textId="77777777" w:rsidR="00D3382D" w:rsidRDefault="00D3382D" w:rsidP="00D3382D"/>
        </w:tc>
        <w:tc>
          <w:tcPr>
            <w:tcW w:w="2550" w:type="dxa"/>
            <w:tcBorders>
              <w:top w:val="single" w:sz="4" w:space="0" w:color="auto"/>
              <w:left w:val="single" w:sz="4" w:space="0" w:color="auto"/>
              <w:bottom w:val="single" w:sz="4" w:space="0" w:color="auto"/>
              <w:right w:val="single" w:sz="4" w:space="0" w:color="auto"/>
            </w:tcBorders>
          </w:tcPr>
          <w:p w14:paraId="3CE7D658" w14:textId="2F6801F5" w:rsidR="00D3382D" w:rsidRDefault="00D3382D" w:rsidP="00D3382D">
            <w:r>
              <w:t xml:space="preserve">Anyone using a thermometer </w:t>
            </w:r>
          </w:p>
          <w:p w14:paraId="4438AAFF" w14:textId="2516B3F4" w:rsidR="00D3382D" w:rsidRDefault="00D3382D" w:rsidP="00D3382D">
            <w:r>
              <w:t>Can lead to spillage of hot liquid or cuts from broken glass</w:t>
            </w:r>
          </w:p>
        </w:tc>
        <w:tc>
          <w:tcPr>
            <w:tcW w:w="6236" w:type="dxa"/>
            <w:tcBorders>
              <w:top w:val="single" w:sz="4" w:space="0" w:color="auto"/>
              <w:left w:val="single" w:sz="4" w:space="0" w:color="auto"/>
              <w:bottom w:val="single" w:sz="4" w:space="0" w:color="auto"/>
              <w:right w:val="single" w:sz="4" w:space="0" w:color="auto"/>
            </w:tcBorders>
          </w:tcPr>
          <w:p w14:paraId="73026424" w14:textId="77777777" w:rsidR="00D3382D" w:rsidRDefault="00D3382D" w:rsidP="00D3382D">
            <w:r>
              <w:t>Long thermometers should not be allowed to rest on the edges of beakers.</w:t>
            </w:r>
          </w:p>
          <w:p w14:paraId="4D04E38F" w14:textId="3C3CA6A3" w:rsidR="00D3382D" w:rsidRDefault="00D3382D" w:rsidP="00D3382D">
            <w:r>
              <w:t>Use shorter thermometers where possible or provide a support for the thermometer.</w:t>
            </w:r>
          </w:p>
        </w:tc>
        <w:tc>
          <w:tcPr>
            <w:tcW w:w="1134" w:type="dxa"/>
            <w:tcBorders>
              <w:top w:val="single" w:sz="4" w:space="0" w:color="auto"/>
              <w:left w:val="single" w:sz="4" w:space="0" w:color="auto"/>
              <w:bottom w:val="single" w:sz="4" w:space="0" w:color="auto"/>
              <w:right w:val="single" w:sz="4" w:space="0" w:color="auto"/>
            </w:tcBorders>
          </w:tcPr>
          <w:p w14:paraId="4F9AC681" w14:textId="77777777" w:rsidR="00D3382D" w:rsidRDefault="00D3382D" w:rsidP="00D3382D"/>
        </w:tc>
        <w:tc>
          <w:tcPr>
            <w:tcW w:w="993" w:type="dxa"/>
            <w:tcBorders>
              <w:top w:val="single" w:sz="4" w:space="0" w:color="auto"/>
              <w:left w:val="single" w:sz="4" w:space="0" w:color="auto"/>
              <w:bottom w:val="single" w:sz="4" w:space="0" w:color="auto"/>
              <w:right w:val="single" w:sz="4" w:space="0" w:color="auto"/>
            </w:tcBorders>
          </w:tcPr>
          <w:p w14:paraId="7FBE2FBB" w14:textId="77777777" w:rsidR="00D3382D" w:rsidRDefault="00D3382D" w:rsidP="00D3382D"/>
        </w:tc>
        <w:tc>
          <w:tcPr>
            <w:tcW w:w="708" w:type="dxa"/>
            <w:tcBorders>
              <w:top w:val="single" w:sz="4" w:space="0" w:color="auto"/>
              <w:left w:val="single" w:sz="4" w:space="0" w:color="auto"/>
              <w:bottom w:val="single" w:sz="4" w:space="0" w:color="auto"/>
              <w:right w:val="single" w:sz="4" w:space="0" w:color="auto"/>
            </w:tcBorders>
          </w:tcPr>
          <w:p w14:paraId="3E3A1637" w14:textId="77777777" w:rsidR="00D3382D" w:rsidRDefault="00D3382D" w:rsidP="00D3382D"/>
        </w:tc>
      </w:tr>
      <w:tr w:rsidR="00D3382D" w14:paraId="59CE1952" w14:textId="77777777" w:rsidTr="00D3382D">
        <w:trPr>
          <w:trHeight w:val="718"/>
        </w:trPr>
        <w:tc>
          <w:tcPr>
            <w:tcW w:w="2659" w:type="dxa"/>
            <w:tcBorders>
              <w:top w:val="single" w:sz="4" w:space="0" w:color="auto"/>
              <w:left w:val="single" w:sz="4" w:space="0" w:color="auto"/>
              <w:bottom w:val="single" w:sz="4" w:space="0" w:color="auto"/>
              <w:right w:val="single" w:sz="4" w:space="0" w:color="auto"/>
            </w:tcBorders>
          </w:tcPr>
          <w:p w14:paraId="5556D4E9" w14:textId="48EC1061" w:rsidR="00D3382D" w:rsidRDefault="00D3382D" w:rsidP="00D3382D">
            <w:r>
              <w:t>Breakage of a mercury thermometer can lead to exposure to mercury, which is toxic, especially by inhalation.</w:t>
            </w:r>
          </w:p>
          <w:p w14:paraId="3963FE9F" w14:textId="77777777" w:rsidR="00D3382D" w:rsidRDefault="00D3382D" w:rsidP="00D3382D"/>
        </w:tc>
        <w:tc>
          <w:tcPr>
            <w:tcW w:w="2550" w:type="dxa"/>
            <w:tcBorders>
              <w:top w:val="single" w:sz="4" w:space="0" w:color="auto"/>
              <w:left w:val="single" w:sz="4" w:space="0" w:color="auto"/>
              <w:bottom w:val="single" w:sz="4" w:space="0" w:color="auto"/>
              <w:right w:val="single" w:sz="4" w:space="0" w:color="auto"/>
            </w:tcBorders>
          </w:tcPr>
          <w:p w14:paraId="00A637DE" w14:textId="5A32D80B" w:rsidR="00D3382D" w:rsidRDefault="00D3382D" w:rsidP="00D3382D">
            <w:r>
              <w:t>Anyone using a mercury thermometer by exposure to the metal.</w:t>
            </w:r>
          </w:p>
          <w:p w14:paraId="4C2BD960" w14:textId="77777777" w:rsidR="00D3382D" w:rsidRDefault="00D3382D" w:rsidP="00D3382D"/>
        </w:tc>
        <w:tc>
          <w:tcPr>
            <w:tcW w:w="6236" w:type="dxa"/>
            <w:tcBorders>
              <w:top w:val="single" w:sz="4" w:space="0" w:color="auto"/>
              <w:left w:val="single" w:sz="4" w:space="0" w:color="auto"/>
              <w:bottom w:val="single" w:sz="4" w:space="0" w:color="auto"/>
              <w:right w:val="single" w:sz="4" w:space="0" w:color="auto"/>
            </w:tcBorders>
          </w:tcPr>
          <w:p w14:paraId="5A05B16F" w14:textId="3E0FD328" w:rsidR="00D3382D" w:rsidRDefault="00D3382D" w:rsidP="00D3382D">
            <w:r>
              <w:t>Alcohol in glass thermometers should be used for all temperatures within their range</w:t>
            </w:r>
            <w:r w:rsidR="001B7AFB">
              <w:t xml:space="preserve"> – unless there is a specific reason for using mercury devices.</w:t>
            </w:r>
          </w:p>
          <w:p w14:paraId="12392072" w14:textId="10A6B21D" w:rsidR="00D3382D" w:rsidRDefault="00D3382D" w:rsidP="00D3382D">
            <w:r>
              <w:t xml:space="preserve">Mercury in glass thermometers should </w:t>
            </w:r>
            <w:r w:rsidRPr="005341D5">
              <w:rPr>
                <w:b/>
                <w:bCs/>
              </w:rPr>
              <w:t>only</w:t>
            </w:r>
            <w:r>
              <w:t xml:space="preserve"> be used </w:t>
            </w:r>
            <w:r w:rsidR="005341D5">
              <w:t>if other thermometers, either liquid in glass or electronic, cannot do the job.</w:t>
            </w:r>
            <w:r>
              <w:t xml:space="preserve">  </w:t>
            </w:r>
          </w:p>
          <w:p w14:paraId="2774D29B" w14:textId="1268063E" w:rsidR="00D3382D" w:rsidRDefault="00D3382D" w:rsidP="00D3382D">
            <w:r>
              <w:t xml:space="preserve">Mercury in glass thermometers should only be handled by staff &amp; </w:t>
            </w:r>
            <w:r w:rsidR="005341D5">
              <w:t xml:space="preserve">maybe some </w:t>
            </w:r>
            <w:r>
              <w:t>senior pupils</w:t>
            </w:r>
            <w:r w:rsidR="00D541F5">
              <w:t xml:space="preserve"> under supervision and only where necessary</w:t>
            </w:r>
            <w:r>
              <w:t>.</w:t>
            </w:r>
          </w:p>
          <w:p w14:paraId="3C6721C9" w14:textId="59F9EDB5" w:rsidR="00D3382D" w:rsidRDefault="00D3382D" w:rsidP="00D3382D">
            <w:r>
              <w:lastRenderedPageBreak/>
              <w:t>They should be kept separate from the other thermometers so they cannot be used in error.</w:t>
            </w:r>
          </w:p>
          <w:p w14:paraId="3B83ED4E" w14:textId="317CEAF8" w:rsidR="00D3382D" w:rsidRDefault="00D3382D" w:rsidP="00D3382D">
            <w:r>
              <w:t xml:space="preserve">Take extra care </w:t>
            </w:r>
            <w:r w:rsidR="00704967">
              <w:t>if</w:t>
            </w:r>
            <w:r>
              <w:t xml:space="preserve"> using mercury thermometers in melting point apparatus or ovens – the heat can vaporise any mercury that spills. Avoid using them</w:t>
            </w:r>
            <w:r w:rsidR="00E87603">
              <w:t xml:space="preserve"> for this</w:t>
            </w:r>
            <w:r>
              <w:t xml:space="preserve"> if possible.</w:t>
            </w:r>
            <w:r w:rsidR="00AB479E">
              <w:t xml:space="preserve"> If they do </w:t>
            </w:r>
            <w:r w:rsidR="00AB479E" w:rsidRPr="00E87603">
              <w:rPr>
                <w:b/>
                <w:bCs/>
              </w:rPr>
              <w:t>need</w:t>
            </w:r>
            <w:r w:rsidR="00AB479E">
              <w:t xml:space="preserve"> to be used, make sure they are positioned and secured in such a way as to minimise any chance of breakage.</w:t>
            </w:r>
          </w:p>
          <w:p w14:paraId="493F19E2" w14:textId="3120268D" w:rsidR="00D3382D" w:rsidRDefault="00D3382D" w:rsidP="00D3382D">
            <w:r>
              <w:t>In the event of spillage, clear up according to procedures for dealing with any other mercury spillage.</w:t>
            </w:r>
            <w:r w:rsidR="009B4D20">
              <w:t xml:space="preserve"> The materials used as well as the remaining glass should be bagged and kept for uplift as special waste.</w:t>
            </w:r>
            <w:r w:rsidR="005F5ED9">
              <w:t xml:space="preserve"> </w:t>
            </w:r>
          </w:p>
        </w:tc>
        <w:tc>
          <w:tcPr>
            <w:tcW w:w="1134" w:type="dxa"/>
            <w:tcBorders>
              <w:top w:val="single" w:sz="4" w:space="0" w:color="auto"/>
              <w:left w:val="single" w:sz="4" w:space="0" w:color="auto"/>
              <w:bottom w:val="single" w:sz="4" w:space="0" w:color="auto"/>
              <w:right w:val="single" w:sz="4" w:space="0" w:color="auto"/>
            </w:tcBorders>
          </w:tcPr>
          <w:p w14:paraId="14D0BD0F" w14:textId="77777777" w:rsidR="00D3382D" w:rsidRDefault="00D3382D" w:rsidP="00D3382D"/>
        </w:tc>
        <w:tc>
          <w:tcPr>
            <w:tcW w:w="993" w:type="dxa"/>
            <w:tcBorders>
              <w:top w:val="single" w:sz="4" w:space="0" w:color="auto"/>
              <w:left w:val="single" w:sz="4" w:space="0" w:color="auto"/>
              <w:bottom w:val="single" w:sz="4" w:space="0" w:color="auto"/>
              <w:right w:val="single" w:sz="4" w:space="0" w:color="auto"/>
            </w:tcBorders>
          </w:tcPr>
          <w:p w14:paraId="26F1A6A4" w14:textId="77777777" w:rsidR="00D3382D" w:rsidRDefault="00D3382D" w:rsidP="00D3382D"/>
        </w:tc>
        <w:tc>
          <w:tcPr>
            <w:tcW w:w="708" w:type="dxa"/>
            <w:tcBorders>
              <w:top w:val="single" w:sz="4" w:space="0" w:color="auto"/>
              <w:left w:val="single" w:sz="4" w:space="0" w:color="auto"/>
              <w:bottom w:val="single" w:sz="4" w:space="0" w:color="auto"/>
              <w:right w:val="single" w:sz="4" w:space="0" w:color="auto"/>
            </w:tcBorders>
          </w:tcPr>
          <w:p w14:paraId="1F92B247" w14:textId="77777777" w:rsidR="00D3382D" w:rsidRDefault="00D3382D" w:rsidP="00D3382D"/>
        </w:tc>
      </w:tr>
    </w:tbl>
    <w:p w14:paraId="56D34962"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62595" w14:paraId="646AE26B" w14:textId="77777777" w:rsidTr="00D3382D">
        <w:trPr>
          <w:trHeight w:val="2360"/>
        </w:trPr>
        <w:tc>
          <w:tcPr>
            <w:tcW w:w="14170" w:type="dxa"/>
            <w:tcBorders>
              <w:top w:val="single" w:sz="4" w:space="0" w:color="auto"/>
              <w:left w:val="single" w:sz="4" w:space="0" w:color="auto"/>
              <w:bottom w:val="single" w:sz="4" w:space="0" w:color="auto"/>
              <w:right w:val="single" w:sz="4" w:space="0" w:color="auto"/>
            </w:tcBorders>
          </w:tcPr>
          <w:p w14:paraId="02B30B2F" w14:textId="77777777" w:rsidR="00762595" w:rsidRDefault="00762595">
            <w:pPr>
              <w:rPr>
                <w:b/>
                <w:bCs/>
                <w:sz w:val="28"/>
              </w:rPr>
            </w:pPr>
            <w:r>
              <w:rPr>
                <w:b/>
                <w:bCs/>
                <w:sz w:val="28"/>
              </w:rPr>
              <w:t>Description of activity:</w:t>
            </w:r>
          </w:p>
          <w:p w14:paraId="29C0CC50" w14:textId="77777777" w:rsidR="00762595" w:rsidRDefault="00762595"/>
        </w:tc>
      </w:tr>
    </w:tbl>
    <w:p w14:paraId="737D0D0B" w14:textId="77777777" w:rsidR="00762595" w:rsidRDefault="00762595" w:rsidP="00762595">
      <w:pPr>
        <w:rPr>
          <w:sz w:val="28"/>
        </w:rPr>
      </w:pPr>
    </w:p>
    <w:p w14:paraId="1F6A4799" w14:textId="77777777" w:rsidR="00762595" w:rsidRDefault="00762595" w:rsidP="00762595">
      <w:pPr>
        <w:rPr>
          <w:sz w:val="28"/>
        </w:rPr>
      </w:pPr>
    </w:p>
    <w:p w14:paraId="4B4981F0"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762595" w14:paraId="59C33FB9" w14:textId="77777777" w:rsidTr="00762595">
        <w:trPr>
          <w:trHeight w:val="2509"/>
        </w:trPr>
        <w:tc>
          <w:tcPr>
            <w:tcW w:w="14170" w:type="dxa"/>
            <w:tcBorders>
              <w:top w:val="single" w:sz="4" w:space="0" w:color="auto"/>
              <w:left w:val="single" w:sz="4" w:space="0" w:color="auto"/>
              <w:bottom w:val="single" w:sz="4" w:space="0" w:color="auto"/>
              <w:right w:val="single" w:sz="4" w:space="0" w:color="auto"/>
            </w:tcBorders>
            <w:hideMark/>
          </w:tcPr>
          <w:p w14:paraId="53DA921F" w14:textId="77777777" w:rsidR="00762595" w:rsidRDefault="00762595">
            <w:pPr>
              <w:rPr>
                <w:b/>
                <w:bCs/>
                <w:sz w:val="28"/>
              </w:rPr>
            </w:pPr>
            <w:r>
              <w:rPr>
                <w:b/>
                <w:bCs/>
                <w:sz w:val="28"/>
              </w:rPr>
              <w:t>Additional comments:</w:t>
            </w:r>
          </w:p>
          <w:p w14:paraId="2B2B21F0" w14:textId="77777777" w:rsidR="00D3382D" w:rsidRDefault="00D3382D">
            <w:pPr>
              <w:rPr>
                <w:b/>
                <w:bCs/>
                <w:sz w:val="28"/>
              </w:rPr>
            </w:pPr>
          </w:p>
          <w:p w14:paraId="6447DF8C" w14:textId="77777777" w:rsidR="00D3382D" w:rsidRPr="00D3382D" w:rsidRDefault="00D3382D">
            <w:r w:rsidRPr="00D3382D">
              <w:t xml:space="preserve">Modern digital thermometers are more accurate than mercury thermometers and much safer. </w:t>
            </w:r>
          </w:p>
          <w:p w14:paraId="701C6D8B" w14:textId="6F77B72A" w:rsidR="00D3382D" w:rsidRPr="00D3382D" w:rsidRDefault="00D3382D">
            <w:r w:rsidRPr="00D3382D">
              <w:t>Mercury thermometers do not have to be disposed of but since 2008 they cannot be purchased.</w:t>
            </w:r>
          </w:p>
          <w:p w14:paraId="5E0AA75B" w14:textId="45F1C0EC" w:rsidR="00D3382D" w:rsidRDefault="00D3382D"/>
        </w:tc>
      </w:tr>
    </w:tbl>
    <w:p w14:paraId="32708B1A" w14:textId="77777777" w:rsidR="00185440" w:rsidRDefault="00000000"/>
    <w:sectPr w:rsidR="00185440" w:rsidSect="00762595">
      <w:pgSz w:w="16838" w:h="11906" w:orient="landscape"/>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2D"/>
    <w:rsid w:val="000147A5"/>
    <w:rsid w:val="001B7AFB"/>
    <w:rsid w:val="001D1C70"/>
    <w:rsid w:val="00393E7C"/>
    <w:rsid w:val="003F3EA1"/>
    <w:rsid w:val="005341D5"/>
    <w:rsid w:val="005F5ED9"/>
    <w:rsid w:val="006E27A3"/>
    <w:rsid w:val="00704967"/>
    <w:rsid w:val="00762595"/>
    <w:rsid w:val="009601EF"/>
    <w:rsid w:val="009B4D20"/>
    <w:rsid w:val="00AB479E"/>
    <w:rsid w:val="00BA3643"/>
    <w:rsid w:val="00D24C31"/>
    <w:rsid w:val="00D3382D"/>
    <w:rsid w:val="00D541F5"/>
    <w:rsid w:val="00E82E1C"/>
    <w:rsid w:val="00E87603"/>
    <w:rsid w:val="00EB7C10"/>
    <w:rsid w:val="00F3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D23B"/>
  <w15:chartTrackingRefBased/>
  <w15:docId w15:val="{E8E9E566-2BEC-4ACA-9D3D-0839F80D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line="276" w:lineRule="auto"/>
        <w:ind w:left="1145"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82D"/>
    <w:pPr>
      <w:spacing w:after="0" w:line="240" w:lineRule="auto"/>
      <w:ind w:left="0" w:firstLine="0"/>
    </w:pPr>
    <w:rPr>
      <w:rFonts w:ascii="Tahoma" w:eastAsia="Times New Roman" w:hAnsi="Tahoma" w:cs="Times New Roman"/>
      <w:sz w:val="20"/>
      <w:szCs w:val="20"/>
    </w:rPr>
  </w:style>
  <w:style w:type="paragraph" w:styleId="Heading1">
    <w:name w:val="heading 1"/>
    <w:basedOn w:val="Normal"/>
    <w:next w:val="Normal"/>
    <w:link w:val="Heading1Char"/>
    <w:qFormat/>
    <w:rsid w:val="00762595"/>
    <w:pPr>
      <w:keepNext/>
      <w:outlineLvl w:val="0"/>
    </w:pPr>
    <w:rPr>
      <w:rFonts w:ascii="Helvetica" w:hAnsi="Helvetica"/>
      <w:i/>
      <w:sz w:val="144"/>
    </w:rPr>
  </w:style>
  <w:style w:type="paragraph" w:styleId="Heading2">
    <w:name w:val="heading 2"/>
    <w:basedOn w:val="Normal"/>
    <w:next w:val="Normal"/>
    <w:link w:val="Heading2Char"/>
    <w:uiPriority w:val="8"/>
    <w:qFormat/>
    <w:rsid w:val="00393E7C"/>
    <w:pPr>
      <w:keepNext/>
      <w:keepLines/>
      <w:spacing w:after="120" w:line="252" w:lineRule="auto"/>
      <w:outlineLvl w:val="1"/>
    </w:pPr>
    <w:rPr>
      <w:rFonts w:ascii="Times New Roman" w:eastAsiaTheme="majorEastAsia" w:hAnsi="Times New Roman" w:cstheme="majorBidi"/>
      <w:b/>
      <w:bCs/>
      <w:sz w:val="32"/>
      <w:szCs w:val="26"/>
    </w:rPr>
  </w:style>
  <w:style w:type="paragraph" w:styleId="Heading3">
    <w:name w:val="heading 3"/>
    <w:basedOn w:val="Normal"/>
    <w:next w:val="Normal"/>
    <w:link w:val="Heading3Char"/>
    <w:uiPriority w:val="9"/>
    <w:qFormat/>
    <w:rsid w:val="00393E7C"/>
    <w:pPr>
      <w:keepNext/>
      <w:keepLines/>
      <w:spacing w:after="120" w:line="252" w:lineRule="auto"/>
      <w:outlineLvl w:val="2"/>
    </w:pPr>
    <w:rPr>
      <w:rFonts w:ascii="Times New Roman" w:eastAsiaTheme="majorEastAsia" w:hAnsi="Times New Roman"/>
      <w:b/>
      <w:bCs/>
      <w:color w:val="4F81BD" w:themeColor="accent1"/>
      <w:sz w:val="28"/>
      <w:szCs w:val="28"/>
    </w:rPr>
  </w:style>
  <w:style w:type="paragraph" w:styleId="Heading4">
    <w:name w:val="heading 4"/>
    <w:basedOn w:val="Normal"/>
    <w:next w:val="Normal"/>
    <w:link w:val="Heading4Char"/>
    <w:uiPriority w:val="9"/>
    <w:unhideWhenUsed/>
    <w:qFormat/>
    <w:rsid w:val="00393E7C"/>
    <w:pPr>
      <w:keepNext/>
      <w:keepLines/>
      <w:spacing w:before="40" w:line="252" w:lineRule="auto"/>
      <w:outlineLvl w:val="3"/>
    </w:pPr>
    <w:rPr>
      <w:rFonts w:ascii="Times New Roman" w:eastAsiaTheme="majorEastAsia" w:hAnsi="Times New Roman"/>
      <w:b/>
      <w:i/>
      <w:iCs/>
      <w:color w:val="365F91" w:themeColor="accent1" w:themeShade="BF"/>
      <w:sz w:val="24"/>
      <w:szCs w:val="24"/>
    </w:rPr>
  </w:style>
  <w:style w:type="paragraph" w:styleId="Heading5">
    <w:name w:val="heading 5"/>
    <w:basedOn w:val="Normal"/>
    <w:next w:val="Normal"/>
    <w:link w:val="Heading5Char"/>
    <w:uiPriority w:val="9"/>
    <w:unhideWhenUsed/>
    <w:qFormat/>
    <w:rsid w:val="00393E7C"/>
    <w:pPr>
      <w:keepNext/>
      <w:keepLines/>
      <w:spacing w:before="40" w:line="252"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semiHidden/>
    <w:unhideWhenUsed/>
    <w:qFormat/>
    <w:rsid w:val="00762595"/>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8"/>
    <w:rsid w:val="00393E7C"/>
    <w:rPr>
      <w:rFonts w:ascii="Times New Roman" w:eastAsiaTheme="majorEastAsia" w:hAnsi="Times New Roman" w:cstheme="majorBidi"/>
      <w:b/>
      <w:bCs/>
      <w:sz w:val="32"/>
      <w:szCs w:val="26"/>
    </w:rPr>
  </w:style>
  <w:style w:type="character" w:customStyle="1" w:styleId="Heading3Char">
    <w:name w:val="Heading 3 Char"/>
    <w:basedOn w:val="DefaultParagraphFont"/>
    <w:link w:val="Heading3"/>
    <w:uiPriority w:val="9"/>
    <w:rsid w:val="00393E7C"/>
    <w:rPr>
      <w:rFonts w:ascii="Times New Roman" w:eastAsiaTheme="majorEastAsia" w:hAnsi="Times New Roman" w:cs="Times New Roman"/>
      <w:b/>
      <w:bCs/>
      <w:color w:val="4F81BD" w:themeColor="accent1"/>
      <w:sz w:val="28"/>
      <w:szCs w:val="28"/>
    </w:rPr>
  </w:style>
  <w:style w:type="character" w:customStyle="1" w:styleId="Heading4Char">
    <w:name w:val="Heading 4 Char"/>
    <w:basedOn w:val="DefaultParagraphFont"/>
    <w:link w:val="Heading4"/>
    <w:uiPriority w:val="9"/>
    <w:rsid w:val="00393E7C"/>
    <w:rPr>
      <w:rFonts w:ascii="Times New Roman" w:eastAsiaTheme="majorEastAsia" w:hAnsi="Times New Roman" w:cs="Times New Roman"/>
      <w:b/>
      <w:i/>
      <w:iCs/>
      <w:color w:val="365F91" w:themeColor="accent1" w:themeShade="BF"/>
    </w:rPr>
  </w:style>
  <w:style w:type="character" w:customStyle="1" w:styleId="Heading5Char">
    <w:name w:val="Heading 5 Char"/>
    <w:basedOn w:val="DefaultParagraphFont"/>
    <w:link w:val="Heading5"/>
    <w:uiPriority w:val="9"/>
    <w:rsid w:val="00393E7C"/>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393E7C"/>
    <w:pPr>
      <w:pBdr>
        <w:bottom w:val="single" w:sz="8" w:space="4" w:color="4F81BD" w:themeColor="accent1"/>
      </w:pBdr>
      <w:spacing w:before="120" w:after="240" w:line="252" w:lineRule="auto"/>
      <w:contextualSpacing/>
    </w:pPr>
    <w:rPr>
      <w:rFonts w:ascii="Times New Roman" w:eastAsiaTheme="majorEastAsia" w:hAnsi="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393E7C"/>
    <w:rPr>
      <w:rFonts w:ascii="Times New Roman" w:eastAsiaTheme="majorEastAsia" w:hAnsi="Times New Roman" w:cs="Times New Roman"/>
      <w:color w:val="17365D" w:themeColor="text2" w:themeShade="BF"/>
      <w:spacing w:val="5"/>
      <w:kern w:val="28"/>
      <w:sz w:val="52"/>
      <w:szCs w:val="52"/>
    </w:rPr>
  </w:style>
  <w:style w:type="paragraph" w:styleId="Subtitle">
    <w:name w:val="Subtitle"/>
    <w:aliases w:val="Indent"/>
    <w:basedOn w:val="Normal"/>
    <w:next w:val="Normal"/>
    <w:link w:val="SubtitleChar"/>
    <w:uiPriority w:val="11"/>
    <w:qFormat/>
    <w:rsid w:val="00393E7C"/>
    <w:pPr>
      <w:spacing w:after="120" w:line="264" w:lineRule="auto"/>
      <w:ind w:left="720"/>
    </w:pPr>
    <w:rPr>
      <w:rFonts w:ascii="Times New Roman" w:hAnsi="Times New Roman" w:cstheme="minorBidi"/>
      <w:i/>
      <w:color w:val="333333"/>
      <w:sz w:val="24"/>
      <w:szCs w:val="24"/>
      <w:lang w:eastAsia="en-GB"/>
    </w:rPr>
  </w:style>
  <w:style w:type="character" w:customStyle="1" w:styleId="SubtitleChar">
    <w:name w:val="Subtitle Char"/>
    <w:aliases w:val="Indent Char"/>
    <w:basedOn w:val="DefaultParagraphFont"/>
    <w:link w:val="Subtitle"/>
    <w:uiPriority w:val="11"/>
    <w:rsid w:val="00393E7C"/>
    <w:rPr>
      <w:rFonts w:ascii="Times New Roman" w:eastAsia="Times New Roman" w:hAnsi="Times New Roman"/>
      <w:i/>
      <w:color w:val="333333"/>
      <w:lang w:eastAsia="en-GB"/>
    </w:rPr>
  </w:style>
  <w:style w:type="paragraph" w:styleId="NoSpacing">
    <w:name w:val="No Spacing"/>
    <w:basedOn w:val="Normal"/>
    <w:link w:val="NoSpacingChar"/>
    <w:uiPriority w:val="2"/>
    <w:qFormat/>
    <w:rsid w:val="00393E7C"/>
    <w:pPr>
      <w:spacing w:after="120" w:line="252" w:lineRule="auto"/>
      <w:ind w:left="567"/>
    </w:pPr>
    <w:rPr>
      <w:rFonts w:ascii="Times New Roman" w:eastAsiaTheme="minorHAnsi" w:hAnsi="Times New Roman" w:cstheme="minorBidi"/>
      <w:i/>
      <w:sz w:val="24"/>
      <w:szCs w:val="24"/>
    </w:rPr>
  </w:style>
  <w:style w:type="character" w:customStyle="1" w:styleId="NoSpacingChar">
    <w:name w:val="No Spacing Char"/>
    <w:basedOn w:val="DefaultParagraphFont"/>
    <w:link w:val="NoSpacing"/>
    <w:uiPriority w:val="2"/>
    <w:rsid w:val="00393E7C"/>
    <w:rPr>
      <w:rFonts w:ascii="Times New Roman" w:hAnsi="Times New Roman"/>
      <w:i/>
    </w:rPr>
  </w:style>
  <w:style w:type="paragraph" w:styleId="ListParagraph">
    <w:name w:val="List Paragraph"/>
    <w:basedOn w:val="Normal"/>
    <w:uiPriority w:val="34"/>
    <w:qFormat/>
    <w:rsid w:val="00393E7C"/>
    <w:pPr>
      <w:spacing w:after="120" w:line="252" w:lineRule="auto"/>
      <w:ind w:left="720"/>
      <w:contextualSpacing/>
    </w:pPr>
    <w:rPr>
      <w:rFonts w:ascii="Times New Roman" w:eastAsiaTheme="minorHAnsi" w:hAnsi="Times New Roman" w:cstheme="minorBidi"/>
      <w:sz w:val="24"/>
      <w:szCs w:val="24"/>
    </w:rPr>
  </w:style>
  <w:style w:type="character" w:customStyle="1" w:styleId="Heading1Char">
    <w:name w:val="Heading 1 Char"/>
    <w:basedOn w:val="DefaultParagraphFont"/>
    <w:link w:val="Heading1"/>
    <w:rsid w:val="00762595"/>
    <w:rPr>
      <w:rFonts w:ascii="Helvetica" w:eastAsia="Times New Roman" w:hAnsi="Helvetica" w:cs="Times New Roman"/>
      <w:i/>
      <w:sz w:val="144"/>
      <w:szCs w:val="20"/>
      <w:lang w:val="en-US"/>
    </w:rPr>
  </w:style>
  <w:style w:type="character" w:customStyle="1" w:styleId="Heading6Char">
    <w:name w:val="Heading 6 Char"/>
    <w:basedOn w:val="DefaultParagraphFont"/>
    <w:link w:val="Heading6"/>
    <w:semiHidden/>
    <w:rsid w:val="00762595"/>
    <w:rPr>
      <w:rFonts w:ascii="Tahoma" w:eastAsia="Times New Roman" w:hAnsi="Tahoma" w:cs="Times New Roman"/>
      <w:i/>
      <w:iCs/>
      <w:sz w:val="20"/>
      <w:szCs w:val="20"/>
      <w:lang w:val="en-US"/>
    </w:rPr>
  </w:style>
  <w:style w:type="character" w:styleId="Hyperlink">
    <w:name w:val="Hyperlink"/>
    <w:basedOn w:val="DefaultParagraphFont"/>
    <w:semiHidden/>
    <w:unhideWhenUsed/>
    <w:rsid w:val="00762595"/>
    <w:rPr>
      <w:color w:val="0000FF"/>
      <w:u w:val="single"/>
    </w:rPr>
  </w:style>
  <w:style w:type="paragraph" w:styleId="Salutation">
    <w:name w:val="Salutation"/>
    <w:basedOn w:val="Normal"/>
    <w:next w:val="Normal"/>
    <w:link w:val="SalutationChar"/>
    <w:semiHidden/>
    <w:unhideWhenUsed/>
    <w:rsid w:val="00762595"/>
  </w:style>
  <w:style w:type="character" w:customStyle="1" w:styleId="SalutationChar">
    <w:name w:val="Salutation Char"/>
    <w:basedOn w:val="DefaultParagraphFont"/>
    <w:link w:val="Salutation"/>
    <w:semiHidden/>
    <w:rsid w:val="00762595"/>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rc.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enquiries@sserc.org.u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sserc.org.uk" TargetMode="External"/><Relationship Id="rId4" Type="http://schemas.openxmlformats.org/officeDocument/2006/relationships/styles" Target="styles.xml"/><Relationship Id="rId9" Type="http://schemas.openxmlformats.org/officeDocument/2006/relationships/hyperlink" Target="mailto:enquiries@sserc.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neDrive%20-%20SSERC%20Ltd\Chemistry\Risk%20Assessments\Technician%20RAs\01%20Risk%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7BFF7405B0D438D6AE5F4697AA321" ma:contentTypeVersion="33" ma:contentTypeDescription="Create a new document." ma:contentTypeScope="" ma:versionID="bf5e0a74f1b3f24593935fa6e23c7ab8">
  <xsd:schema xmlns:xsd="http://www.w3.org/2001/XMLSchema" xmlns:xs="http://www.w3.org/2001/XMLSchema" xmlns:p="http://schemas.microsoft.com/office/2006/metadata/properties" xmlns:ns1="http://schemas.microsoft.com/sharepoint/v3" xmlns:ns3="636fe242-164e-4f1e-a95b-8eae9b9c3aff" xmlns:ns4="14c3d975-da9d-4531-8ac6-588f317dca61" targetNamespace="http://schemas.microsoft.com/office/2006/metadata/properties" ma:root="true" ma:fieldsID="5facacb3212f74a919b3bdc8b92e547d" ns1:_="" ns3:_="" ns4:_="">
    <xsd:import namespace="http://schemas.microsoft.com/sharepoint/v3"/>
    <xsd:import namespace="636fe242-164e-4f1e-a95b-8eae9b9c3aff"/>
    <xsd:import namespace="14c3d975-da9d-4531-8ac6-588f317dca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fe242-164e-4f1e-a95b-8eae9b9c3a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c3d975-da9d-4531-8ac6-588f317dca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636fe242-164e-4f1e-a95b-8eae9b9c3aff" xsi:nil="true"/>
    <LMS_Mappings xmlns="636fe242-164e-4f1e-a95b-8eae9b9c3aff" xsi:nil="true"/>
    <_ip_UnifiedCompliancePolicyUIAction xmlns="http://schemas.microsoft.com/sharepoint/v3" xsi:nil="true"/>
    <Owner xmlns="636fe242-164e-4f1e-a95b-8eae9b9c3aff">
      <UserInfo>
        <DisplayName/>
        <AccountId xsi:nil="true"/>
        <AccountType/>
      </UserInfo>
    </Owner>
    <Students xmlns="636fe242-164e-4f1e-a95b-8eae9b9c3aff">
      <UserInfo>
        <DisplayName/>
        <AccountId xsi:nil="true"/>
        <AccountType/>
      </UserInfo>
    </Students>
    <Has_Teacher_Only_SectionGroup xmlns="636fe242-164e-4f1e-a95b-8eae9b9c3aff" xsi:nil="true"/>
    <AppVersion xmlns="636fe242-164e-4f1e-a95b-8eae9b9c3aff" xsi:nil="true"/>
    <Invited_Students xmlns="636fe242-164e-4f1e-a95b-8eae9b9c3aff" xsi:nil="true"/>
    <FolderType xmlns="636fe242-164e-4f1e-a95b-8eae9b9c3aff" xsi:nil="true"/>
    <CultureName xmlns="636fe242-164e-4f1e-a95b-8eae9b9c3aff" xsi:nil="true"/>
    <_ip_UnifiedCompliancePolicyProperties xmlns="http://schemas.microsoft.com/sharepoint/v3" xsi:nil="true"/>
    <Math_Settings xmlns="636fe242-164e-4f1e-a95b-8eae9b9c3aff" xsi:nil="true"/>
    <Templates xmlns="636fe242-164e-4f1e-a95b-8eae9b9c3aff" xsi:nil="true"/>
    <Distribution_Groups xmlns="636fe242-164e-4f1e-a95b-8eae9b9c3aff" xsi:nil="true"/>
    <Self_Registration_Enabled xmlns="636fe242-164e-4f1e-a95b-8eae9b9c3aff" xsi:nil="true"/>
    <DefaultSectionNames xmlns="636fe242-164e-4f1e-a95b-8eae9b9c3aff" xsi:nil="true"/>
    <TeamsChannelId xmlns="636fe242-164e-4f1e-a95b-8eae9b9c3aff" xsi:nil="true"/>
    <Invited_Teachers xmlns="636fe242-164e-4f1e-a95b-8eae9b9c3aff" xsi:nil="true"/>
    <IsNotebookLocked xmlns="636fe242-164e-4f1e-a95b-8eae9b9c3aff" xsi:nil="true"/>
    <NotebookType xmlns="636fe242-164e-4f1e-a95b-8eae9b9c3aff" xsi:nil="true"/>
    <Teachers xmlns="636fe242-164e-4f1e-a95b-8eae9b9c3aff">
      <UserInfo>
        <DisplayName/>
        <AccountId xsi:nil="true"/>
        <AccountType/>
      </UserInfo>
    </Teachers>
    <Student_Groups xmlns="636fe242-164e-4f1e-a95b-8eae9b9c3aff">
      <UserInfo>
        <DisplayName/>
        <AccountId xsi:nil="true"/>
        <AccountType/>
      </UserInfo>
    </Student_Grou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E7BEA-531F-47B6-BFE0-220483C24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fe242-164e-4f1e-a95b-8eae9b9c3aff"/>
    <ds:schemaRef ds:uri="14c3d975-da9d-4531-8ac6-588f317dc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7D655-D614-4D21-B44B-8020D904E2D1}">
  <ds:schemaRefs>
    <ds:schemaRef ds:uri="http://schemas.microsoft.com/office/2006/metadata/properties"/>
    <ds:schemaRef ds:uri="http://schemas.microsoft.com/office/infopath/2007/PartnerControls"/>
    <ds:schemaRef ds:uri="636fe242-164e-4f1e-a95b-8eae9b9c3aff"/>
    <ds:schemaRef ds:uri="http://schemas.microsoft.com/sharepoint/v3"/>
  </ds:schemaRefs>
</ds:datastoreItem>
</file>

<file path=customXml/itemProps3.xml><?xml version="1.0" encoding="utf-8"?>
<ds:datastoreItem xmlns:ds="http://schemas.openxmlformats.org/officeDocument/2006/customXml" ds:itemID="{3CAADFCC-8388-449A-BE0C-E4F762EF3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 Risk Assessment Template.dotx</Template>
  <TotalTime>14</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Lloyd</cp:lastModifiedBy>
  <cp:revision>8</cp:revision>
  <dcterms:created xsi:type="dcterms:W3CDTF">2022-08-30T15:37:00Z</dcterms:created>
  <dcterms:modified xsi:type="dcterms:W3CDTF">2023-08-02T08:53:00Z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0x010100AAA7BFF7405B0D438D6AE5F4697AA321</vt:lpwstr>
  </property>
</Properties>
</file>