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0469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A57F2" wp14:editId="23CCB89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DFF0A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3C2DFC66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(based on HSE’s INDG 163 ‘Risk assessment - A brief guide to controlling risks in the workplace’) </w:t>
                            </w:r>
                          </w:p>
                          <w:p w14:paraId="4B389FC2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655B2FC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30C061C3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 :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5F73451D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642F4A1E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A57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45FDFF0A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3C2DFC66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(based on HSE’s INDG 163 ‘Risk assessment - A brief guide to controlling risks in the workplace’) </w:t>
                      </w:r>
                    </w:p>
                    <w:p w14:paraId="4B389FC2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5655B2FC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30C061C3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 :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5F73451D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642F4A1E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7FD2D60A" wp14:editId="566A45A0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E1E37" w14:textId="77777777" w:rsidR="00762595" w:rsidRDefault="00762595" w:rsidP="00762595">
      <w:pPr>
        <w:pStyle w:val="Heading1"/>
        <w:rPr>
          <w:sz w:val="24"/>
        </w:rPr>
      </w:pPr>
    </w:p>
    <w:p w14:paraId="1229F74E" w14:textId="77777777" w:rsidR="00762595" w:rsidRDefault="00762595" w:rsidP="00762595">
      <w:pPr>
        <w:pStyle w:val="Heading1"/>
        <w:rPr>
          <w:sz w:val="24"/>
        </w:rPr>
      </w:pPr>
    </w:p>
    <w:p w14:paraId="6F011E36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6C5893C8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E446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F35" w14:textId="4F3BC92B" w:rsidR="00762595" w:rsidRDefault="000456E7">
            <w:r>
              <w:t>Technician Risk Assessment – Lone Working</w:t>
            </w:r>
          </w:p>
        </w:tc>
      </w:tr>
      <w:tr w:rsidR="00762595" w14:paraId="3F336BB6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3F7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489" w14:textId="4CFE22C2" w:rsidR="00762595" w:rsidRDefault="000456E7">
            <w:r>
              <w:t>August 2022</w:t>
            </w:r>
          </w:p>
        </w:tc>
      </w:tr>
      <w:tr w:rsidR="00762595" w14:paraId="3621073F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0D58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5D8" w14:textId="77777777" w:rsidR="00762595" w:rsidRDefault="00762595">
            <w:pPr>
              <w:pStyle w:val="Salutation"/>
            </w:pPr>
          </w:p>
        </w:tc>
      </w:tr>
      <w:tr w:rsidR="00762595" w14:paraId="3D2717DC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C551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8E90" w14:textId="77777777" w:rsidR="00762595" w:rsidRDefault="00762595">
            <w:pPr>
              <w:pStyle w:val="Salutation"/>
            </w:pPr>
          </w:p>
        </w:tc>
      </w:tr>
      <w:tr w:rsidR="00762595" w14:paraId="26BA2DB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1BD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BD" w14:textId="77777777" w:rsidR="00762595" w:rsidRDefault="00762595"/>
        </w:tc>
      </w:tr>
    </w:tbl>
    <w:p w14:paraId="4F77A595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055E94C1" w14:textId="77777777" w:rsidTr="000456E7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C182D81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69688AE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8063461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1145DC9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14E44EFE" w14:textId="77777777" w:rsidTr="000456E7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87D7474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FE937EE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11358F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6E49E8C7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47418B3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593221F6" w14:textId="77777777" w:rsidTr="000456E7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1016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DD1B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28BA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EAA5231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7200DE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3C2F4B2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0456E7" w14:paraId="2AD42C87" w14:textId="77777777" w:rsidTr="00F110F1">
        <w:trPr>
          <w:trHeight w:val="709"/>
        </w:trPr>
        <w:tc>
          <w:tcPr>
            <w:tcW w:w="1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CAF" w14:textId="2CDD5FF0" w:rsidR="000456E7" w:rsidRDefault="000456E7">
            <w:r>
              <w:t xml:space="preserve">When lone working, </w:t>
            </w:r>
            <w:r w:rsidR="007E48CD">
              <w:t>technicians should avoid high risk activities. Their line managers (or other senior staff members) should know they are lone working. There should be regular check-ins during the day to ensure safety and an emergency plan put in place in case there is no phone response.</w:t>
            </w:r>
          </w:p>
        </w:tc>
      </w:tr>
      <w:tr w:rsidR="00762595" w14:paraId="29514F20" w14:textId="77777777" w:rsidTr="000456E7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747" w14:textId="18B2E043" w:rsidR="00762595" w:rsidRDefault="000456E7">
            <w:r>
              <w:t xml:space="preserve">Scalpels and broken glass can cause serious cuts.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1A1" w14:textId="0711E902" w:rsidR="00762595" w:rsidRDefault="000456E7">
            <w:r>
              <w:t>Technicians from cuts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6F3" w14:textId="77777777" w:rsidR="00762595" w:rsidRDefault="000456E7">
            <w:r>
              <w:t>If at all possible, technicians should not work with sharp objects when lone working.</w:t>
            </w:r>
          </w:p>
          <w:p w14:paraId="61B42114" w14:textId="6A1C34F7" w:rsidR="000456E7" w:rsidRDefault="000456E7">
            <w:r>
              <w:t>Extra care should be taken with glassware</w:t>
            </w:r>
            <w:r w:rsidR="007E48CD">
              <w:t xml:space="preserve"> – especially washing up that has been left in water to soak as it may have broken and the cut glass will not be visible.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E0D1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8FD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D70" w14:textId="77777777" w:rsidR="00762595" w:rsidRDefault="00762595"/>
        </w:tc>
      </w:tr>
      <w:tr w:rsidR="00762595" w14:paraId="495A74CA" w14:textId="77777777" w:rsidTr="000456E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582" w14:textId="66A6553B" w:rsidR="00762595" w:rsidRDefault="007E48CD">
            <w:r>
              <w:t>There is the danger of electric shock from equipment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F9E" w14:textId="5BC55488" w:rsidR="00762595" w:rsidRDefault="007E48CD">
            <w:r>
              <w:t>Technicians from electric shock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36F8" w14:textId="7776F315" w:rsidR="00762595" w:rsidRDefault="007E48CD">
            <w:r>
              <w:t>When lone working, technicians should avoid working with devices that have high voltage and/or current.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AAA0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080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FD8" w14:textId="77777777" w:rsidR="00762595" w:rsidRDefault="00762595"/>
        </w:tc>
      </w:tr>
      <w:tr w:rsidR="00762595" w14:paraId="07BA40BE" w14:textId="77777777" w:rsidTr="000456E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E20" w14:textId="16D780B0" w:rsidR="00762595" w:rsidRDefault="007E48CD">
            <w:r>
              <w:t>There is a danger of injury from manual handling.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099" w14:textId="13A276AB" w:rsidR="00762595" w:rsidRDefault="007E48CD">
            <w:r>
              <w:t>Technicians from Musculo-skeletal injury.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965" w14:textId="77777777" w:rsidR="00762595" w:rsidRDefault="007E48CD" w:rsidP="007E48CD">
            <w:pPr>
              <w:autoSpaceDE w:val="0"/>
              <w:autoSpaceDN w:val="0"/>
              <w:adjustRightInd w:val="0"/>
            </w:pPr>
            <w:r w:rsidRPr="007E48CD">
              <w:t>When working alone, staff should be especially vigilant about lifting items that might be heavy. Even more so than</w:t>
            </w:r>
            <w:r>
              <w:t xml:space="preserve"> </w:t>
            </w:r>
            <w:r w:rsidRPr="007E48CD">
              <w:t>usual and particularly if they have a known or suspected weakness or injury.</w:t>
            </w:r>
          </w:p>
          <w:p w14:paraId="4BAF08A7" w14:textId="2990AFA2" w:rsidR="007E48CD" w:rsidRDefault="007E48CD" w:rsidP="007E48CD">
            <w:pPr>
              <w:autoSpaceDE w:val="0"/>
              <w:autoSpaceDN w:val="0"/>
              <w:adjustRightInd w:val="0"/>
            </w:pPr>
            <w:r>
              <w:t>If in any doubt, moving equipment should be left until there is assistance.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E2A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F86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F58" w14:textId="77777777" w:rsidR="00762595" w:rsidRDefault="00762595"/>
        </w:tc>
      </w:tr>
      <w:tr w:rsidR="00762595" w14:paraId="5474FCDE" w14:textId="77777777" w:rsidTr="000456E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08C" w14:textId="21251366" w:rsidR="00762595" w:rsidRDefault="00414C9B">
            <w:r>
              <w:t>Injuries from work equipment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530" w14:textId="7FE1EC42" w:rsidR="00762595" w:rsidRDefault="00414C9B">
            <w:r>
              <w:t>Technicians (especially in technology) from cuts, burns, entanglement etc.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378" w14:textId="498FA5CB" w:rsidR="00762595" w:rsidRDefault="00414C9B">
            <w:r w:rsidRPr="00414C9B">
              <w:t>Staff should av</w:t>
            </w:r>
            <w:r>
              <w:t>oi</w:t>
            </w:r>
            <w:r w:rsidRPr="00414C9B">
              <w:t>d lone working with machinery that could lead to injury or incapacitation.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450D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147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432" w14:textId="77777777" w:rsidR="00762595" w:rsidRDefault="00762595"/>
        </w:tc>
      </w:tr>
      <w:tr w:rsidR="00762595" w14:paraId="72B4EDBC" w14:textId="77777777" w:rsidTr="000456E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52A" w14:textId="5E6719D7" w:rsidR="00762595" w:rsidRDefault="00414C9B">
            <w:r>
              <w:t>Injuries from fire/burns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10C" w14:textId="521A615F" w:rsidR="00762595" w:rsidRDefault="00414C9B">
            <w:r>
              <w:t>Technicians by burns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319" w14:textId="4860372D" w:rsidR="00762595" w:rsidRDefault="00414C9B">
            <w:r w:rsidRPr="00414C9B">
              <w:t>When working alone, staff should refrain from using flammable substances except in very small quantities.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039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91D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86C" w14:textId="77777777" w:rsidR="00762595" w:rsidRDefault="00762595"/>
        </w:tc>
      </w:tr>
      <w:tr w:rsidR="00762595" w14:paraId="6CC155C4" w14:textId="77777777" w:rsidTr="000456E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1B8" w14:textId="1C2B3DC0" w:rsidR="00762595" w:rsidRDefault="00414C9B">
            <w:r>
              <w:lastRenderedPageBreak/>
              <w:t>Injuries from hazardous chemicals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364" w14:textId="78FA4056" w:rsidR="00762595" w:rsidRDefault="00414C9B">
            <w:r>
              <w:t>Technicians by exposure to toxic or corrosive materials either liquid or fumes.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7A0F" w14:textId="77777777" w:rsidR="00762595" w:rsidRDefault="00414C9B" w:rsidP="00414C9B">
            <w:pPr>
              <w:autoSpaceDE w:val="0"/>
              <w:autoSpaceDN w:val="0"/>
              <w:adjustRightInd w:val="0"/>
            </w:pPr>
            <w:r w:rsidRPr="00414C9B">
              <w:t>When working alone, staff should not use any substances whose hazards might lead to serious injury or</w:t>
            </w:r>
            <w:r>
              <w:t xml:space="preserve"> </w:t>
            </w:r>
            <w:r w:rsidRPr="00414C9B">
              <w:t>incapacitation. Eg avoid concentrated acids, highly toxic or flammable substances etc.</w:t>
            </w:r>
          </w:p>
          <w:p w14:paraId="77994B1B" w14:textId="6FAB64BD" w:rsidR="00CA1F1A" w:rsidRDefault="00CA1F1A" w:rsidP="00414C9B">
            <w:pPr>
              <w:autoSpaceDE w:val="0"/>
              <w:autoSpaceDN w:val="0"/>
              <w:adjustRightInd w:val="0"/>
            </w:pPr>
            <w:r>
              <w:t xml:space="preserve">Take extra care to check </w:t>
            </w:r>
            <w:r w:rsidR="0032170E">
              <w:t>SSERC guidance on the handling of high hazard chemicals.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B76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311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472" w14:textId="77777777" w:rsidR="00762595" w:rsidRDefault="00762595"/>
        </w:tc>
      </w:tr>
    </w:tbl>
    <w:p w14:paraId="3E210478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6C378651" w14:textId="77777777" w:rsidTr="00103DC0">
        <w:trPr>
          <w:trHeight w:val="2753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E46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32B1D2D5" w14:textId="77777777" w:rsidR="00762595" w:rsidRDefault="00762595"/>
          <w:p w14:paraId="41D042E2" w14:textId="77777777" w:rsidR="00414C9B" w:rsidRDefault="00414C9B">
            <w:r>
              <w:t xml:space="preserve">Lone working involves technicians (or others) working without colleagues </w:t>
            </w:r>
            <w:r w:rsidR="00103DC0">
              <w:t>(</w:t>
            </w:r>
            <w:r>
              <w:t xml:space="preserve">or other sources of assistance) close by. This does not just mean no one else being on the premises. If </w:t>
            </w:r>
            <w:r w:rsidR="00103DC0">
              <w:t>assistance is far enough away that they would be unaware of any problems or of cries for help, that too is lone working.</w:t>
            </w:r>
          </w:p>
          <w:p w14:paraId="13DC4FE2" w14:textId="77777777" w:rsidR="00103DC0" w:rsidRDefault="00103DC0"/>
          <w:p w14:paraId="16716666" w14:textId="77777777" w:rsidR="00103DC0" w:rsidRDefault="00103DC0">
            <w:r>
              <w:t>A list of high risk activities to be avoided should be drawn up and included in the departmental handbook.</w:t>
            </w:r>
          </w:p>
          <w:p w14:paraId="0CE296E4" w14:textId="77777777" w:rsidR="00103DC0" w:rsidRDefault="00103DC0"/>
          <w:p w14:paraId="2B22AC44" w14:textId="78C02058" w:rsidR="00103DC0" w:rsidRDefault="00103DC0">
            <w:r>
              <w:t>There should be a clear lone-work policy in the school and/or department which lays out procedures such as contact arrangements.</w:t>
            </w:r>
          </w:p>
        </w:tc>
      </w:tr>
    </w:tbl>
    <w:p w14:paraId="2928B48F" w14:textId="77777777" w:rsidR="00762595" w:rsidRDefault="00762595" w:rsidP="00762595">
      <w:pPr>
        <w:rPr>
          <w:sz w:val="28"/>
        </w:rPr>
      </w:pPr>
    </w:p>
    <w:p w14:paraId="19A3916B" w14:textId="77777777" w:rsidR="00762595" w:rsidRDefault="00762595" w:rsidP="00762595">
      <w:pPr>
        <w:rPr>
          <w:sz w:val="28"/>
        </w:rPr>
      </w:pPr>
    </w:p>
    <w:p w14:paraId="330E6394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3B251F2C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F6F6" w14:textId="77777777" w:rsidR="00762595" w:rsidRDefault="00762595">
            <w:r>
              <w:rPr>
                <w:b/>
                <w:bCs/>
                <w:sz w:val="28"/>
              </w:rPr>
              <w:t>Additional comments:</w:t>
            </w:r>
          </w:p>
        </w:tc>
      </w:tr>
    </w:tbl>
    <w:p w14:paraId="1A29B2BA" w14:textId="77777777" w:rsidR="00185440" w:rsidRDefault="00000000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7"/>
    <w:rsid w:val="000147A5"/>
    <w:rsid w:val="000456E7"/>
    <w:rsid w:val="00103DC0"/>
    <w:rsid w:val="001D1C70"/>
    <w:rsid w:val="0032170E"/>
    <w:rsid w:val="00393E7C"/>
    <w:rsid w:val="003F3EA1"/>
    <w:rsid w:val="00414C9B"/>
    <w:rsid w:val="006E27A3"/>
    <w:rsid w:val="00762595"/>
    <w:rsid w:val="007E48CD"/>
    <w:rsid w:val="009601EF"/>
    <w:rsid w:val="00BA3643"/>
    <w:rsid w:val="00CA1F1A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A748"/>
  <w15:chartTrackingRefBased/>
  <w15:docId w15:val="{883AB295-4E31-46C4-BA34-AE39CEDF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19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3</cp:revision>
  <dcterms:created xsi:type="dcterms:W3CDTF">2022-09-23T10:57:00Z</dcterms:created>
  <dcterms:modified xsi:type="dcterms:W3CDTF">2022-09-23T11:30:00Z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